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721C" w14:textId="7B1133BF" w:rsidR="0037470A" w:rsidRDefault="0037470A" w:rsidP="00A35768">
      <w:pPr>
        <w:rPr>
          <w:b/>
          <w:bCs/>
          <w:highlight w:val="green"/>
          <w:lang w:val="en-US"/>
        </w:rPr>
      </w:pPr>
      <w:r>
        <w:rPr>
          <w:b/>
          <w:bCs/>
          <w:highlight w:val="green"/>
          <w:lang w:val="en-US"/>
        </w:rPr>
        <w:t>Patient A</w:t>
      </w:r>
    </w:p>
    <w:p w14:paraId="7132F259" w14:textId="7ED58B2F" w:rsidR="00A35768" w:rsidRPr="00A35768" w:rsidRDefault="0037470A" w:rsidP="00A35768">
      <w:pPr>
        <w:rPr>
          <w:lang w:val="x-none"/>
        </w:rPr>
      </w:pPr>
      <w:r>
        <w:rPr>
          <w:b/>
          <w:bCs/>
          <w:highlight w:val="green"/>
          <w:lang w:val="en-US"/>
        </w:rPr>
        <w:t>H</w:t>
      </w:r>
      <w:r w:rsidR="00A35768" w:rsidRPr="006C1831">
        <w:rPr>
          <w:b/>
          <w:bCs/>
          <w:highlight w:val="green"/>
          <w:lang w:val="en-US"/>
        </w:rPr>
        <w:t xml:space="preserve">omozygous </w:t>
      </w:r>
      <w:r w:rsidR="00190964" w:rsidRPr="00A35768">
        <w:rPr>
          <w:b/>
          <w:bCs/>
          <w:highlight w:val="green"/>
        </w:rPr>
        <w:t>DPYD HapB3 (c.1236G&gt;A)</w:t>
      </w:r>
      <w:r w:rsidR="00190964" w:rsidRPr="006C1831">
        <w:rPr>
          <w:b/>
          <w:bCs/>
          <w:highlight w:val="green"/>
          <w:lang w:val="en-US"/>
        </w:rPr>
        <w:br/>
      </w:r>
      <w:r w:rsidR="00A35768">
        <w:rPr>
          <w:lang w:val="en-US"/>
        </w:rPr>
        <w:br/>
      </w:r>
      <w:r w:rsidR="00A35768">
        <w:rPr>
          <w:lang w:val="en-US"/>
        </w:rPr>
        <w:br/>
      </w:r>
      <w:r w:rsidR="00A35768" w:rsidRPr="00A35768">
        <w:rPr>
          <w:b/>
          <w:bCs/>
          <w:lang w:val="x-none"/>
        </w:rPr>
        <w:t>DPYD Common Variant Screen</w:t>
      </w:r>
    </w:p>
    <w:p w14:paraId="4A88252F" w14:textId="77777777" w:rsidR="00A35768" w:rsidRPr="00A35768" w:rsidRDefault="00A35768" w:rsidP="00A35768">
      <w:pPr>
        <w:rPr>
          <w:lang w:val="x-none"/>
        </w:rPr>
      </w:pPr>
    </w:p>
    <w:p w14:paraId="640768CB" w14:textId="77777777" w:rsidR="00A35768" w:rsidRPr="00A35768" w:rsidRDefault="00A35768" w:rsidP="00A35768">
      <w:pPr>
        <w:rPr>
          <w:lang w:val="x-none"/>
        </w:rPr>
      </w:pPr>
      <w:r w:rsidRPr="00A35768">
        <w:rPr>
          <w:b/>
          <w:bCs/>
          <w:lang w:val="x-none"/>
        </w:rPr>
        <w:t>Test requested:</w:t>
      </w:r>
      <w:r w:rsidRPr="00A35768">
        <w:rPr>
          <w:lang w:val="x-none"/>
        </w:rPr>
        <w:t xml:space="preserve"> DPYD Common Variant Screen</w:t>
      </w:r>
    </w:p>
    <w:p w14:paraId="0B4C2318" w14:textId="2101D0CC" w:rsidR="00A35768" w:rsidRPr="00A35768" w:rsidRDefault="00A35768" w:rsidP="00A35768">
      <w:pPr>
        <w:rPr>
          <w:b/>
          <w:bCs/>
          <w:lang w:val="x-none"/>
        </w:rPr>
      </w:pPr>
      <w:r w:rsidRPr="00A35768">
        <w:rPr>
          <w:b/>
          <w:bCs/>
          <w:lang w:val="x-none"/>
        </w:rPr>
        <w:t xml:space="preserve">Specimen Type: </w:t>
      </w:r>
      <w:r w:rsidRPr="00A35768">
        <w:rPr>
          <w:lang w:val="x-none"/>
        </w:rPr>
        <w:t>Blood</w:t>
      </w:r>
    </w:p>
    <w:p w14:paraId="02EB000D" w14:textId="40EB6155" w:rsidR="00A35768" w:rsidRPr="00A35768" w:rsidRDefault="00A35768" w:rsidP="00A35768">
      <w:pPr>
        <w:rPr>
          <w:b/>
          <w:bCs/>
          <w:lang w:val="x-none"/>
        </w:rPr>
      </w:pPr>
      <w:r w:rsidRPr="00A35768">
        <w:rPr>
          <w:b/>
          <w:bCs/>
          <w:lang w:val="x-none"/>
        </w:rPr>
        <w:t>Accession Number:</w:t>
      </w:r>
      <w:r w:rsidRPr="00A35768">
        <w:rPr>
          <w:lang w:val="x-none"/>
        </w:rPr>
        <w:t xml:space="preserve"> </w:t>
      </w:r>
    </w:p>
    <w:p w14:paraId="0C6DAC45" w14:textId="77777777" w:rsidR="00A35768" w:rsidRPr="00A35768" w:rsidRDefault="00A35768" w:rsidP="00A35768">
      <w:pPr>
        <w:rPr>
          <w:b/>
          <w:bCs/>
          <w:lang w:val="x-none"/>
        </w:rPr>
      </w:pPr>
    </w:p>
    <w:p w14:paraId="667699B9" w14:textId="77777777" w:rsidR="00A35768" w:rsidRPr="00A35768" w:rsidRDefault="00A35768" w:rsidP="00A35768">
      <w:pPr>
        <w:rPr>
          <w:b/>
          <w:bCs/>
          <w:lang w:val="x-none"/>
        </w:rPr>
      </w:pPr>
    </w:p>
    <w:p w14:paraId="6EF44A0D" w14:textId="77777777" w:rsidR="00A35768" w:rsidRPr="00A35768" w:rsidRDefault="00A35768" w:rsidP="00A35768">
      <w:pPr>
        <w:rPr>
          <w:lang w:val="x-none"/>
        </w:rPr>
      </w:pPr>
      <w:r w:rsidRPr="00A35768">
        <w:rPr>
          <w:b/>
          <w:bCs/>
          <w:lang w:val="x-none"/>
        </w:rPr>
        <w:t>Clinical Indication:</w:t>
      </w:r>
      <w:r w:rsidRPr="00A35768">
        <w:rPr>
          <w:lang w:val="x-none"/>
        </w:rPr>
        <w:t xml:space="preserve"> </w:t>
      </w:r>
    </w:p>
    <w:p w14:paraId="2CC9CF4F" w14:textId="21D34A39" w:rsidR="00A35768" w:rsidRPr="00A35768" w:rsidRDefault="00A35768" w:rsidP="00A35768">
      <w:pPr>
        <w:rPr>
          <w:lang w:val="x-none"/>
        </w:rPr>
      </w:pPr>
      <w:r w:rsidRPr="00A35768">
        <w:rPr>
          <w:lang w:val="x-none"/>
        </w:rPr>
        <w:t>DPYD genotyping.</w:t>
      </w:r>
    </w:p>
    <w:p w14:paraId="5522C378" w14:textId="77777777" w:rsidR="00A35768" w:rsidRPr="00A35768" w:rsidRDefault="00A35768" w:rsidP="00A35768">
      <w:pPr>
        <w:rPr>
          <w:lang w:val="x-none"/>
        </w:rPr>
      </w:pPr>
    </w:p>
    <w:p w14:paraId="31B1AE28" w14:textId="77777777" w:rsidR="00A35768" w:rsidRPr="00A35768" w:rsidRDefault="00A35768" w:rsidP="00A35768">
      <w:pPr>
        <w:rPr>
          <w:b/>
          <w:bCs/>
          <w:lang w:val="x-none"/>
        </w:rPr>
      </w:pPr>
      <w:r w:rsidRPr="00A35768">
        <w:rPr>
          <w:b/>
          <w:bCs/>
          <w:lang w:val="x-none"/>
        </w:rPr>
        <w:t>Summary:</w:t>
      </w:r>
    </w:p>
    <w:p w14:paraId="08730D06" w14:textId="77777777" w:rsidR="00A35768" w:rsidRPr="00A35768" w:rsidRDefault="00A35768" w:rsidP="00A35768">
      <w:pPr>
        <w:rPr>
          <w:lang w:val="x-none"/>
        </w:rPr>
      </w:pPr>
      <w:r w:rsidRPr="00A35768">
        <w:rPr>
          <w:lang w:val="x-none"/>
        </w:rPr>
        <w:t>A variant was DETECTED in the DPYD gene in this specimen.</w:t>
      </w:r>
    </w:p>
    <w:p w14:paraId="40C76683" w14:textId="77777777" w:rsidR="00A35768" w:rsidRPr="00A35768" w:rsidRDefault="00A35768" w:rsidP="00A35768">
      <w:pPr>
        <w:rPr>
          <w:b/>
          <w:bCs/>
          <w:lang w:val="x-none"/>
        </w:rPr>
      </w:pPr>
      <w:r w:rsidRPr="00A35768">
        <w:rPr>
          <w:b/>
          <w:bCs/>
          <w:lang w:val="x-none"/>
        </w:rPr>
        <w:t>_______________________________________________________________________________</w:t>
      </w:r>
    </w:p>
    <w:p w14:paraId="3CB4866F" w14:textId="77777777" w:rsidR="00A35768" w:rsidRPr="00A35768" w:rsidRDefault="00A35768" w:rsidP="00A35768">
      <w:pPr>
        <w:rPr>
          <w:b/>
          <w:bCs/>
          <w:lang w:val="x-none"/>
        </w:rPr>
      </w:pPr>
    </w:p>
    <w:p w14:paraId="749617CE" w14:textId="3DA460E0" w:rsidR="00A35768" w:rsidRPr="00A35768" w:rsidRDefault="00A35768" w:rsidP="00A35768">
      <w:pPr>
        <w:rPr>
          <w:b/>
          <w:bCs/>
          <w:lang w:val="x-none"/>
        </w:rPr>
      </w:pPr>
      <w:r w:rsidRPr="00A35768">
        <w:rPr>
          <w:b/>
          <w:bCs/>
          <w:lang w:val="x-none"/>
        </w:rPr>
        <w:t xml:space="preserve">Results:                                                                                                   </w:t>
      </w:r>
      <w:r>
        <w:rPr>
          <w:b/>
          <w:bCs/>
          <w:lang w:val="x-none"/>
        </w:rPr>
        <w:t xml:space="preserve">        </w:t>
      </w:r>
      <w:r w:rsidRPr="00A35768">
        <w:rPr>
          <w:b/>
          <w:bCs/>
          <w:lang w:val="x-none"/>
        </w:rPr>
        <w:t>Zygosity:</w:t>
      </w:r>
    </w:p>
    <w:p w14:paraId="3D1C1E9D" w14:textId="77777777" w:rsidR="00A35768" w:rsidRPr="00A35768" w:rsidRDefault="00A35768" w:rsidP="00A35768">
      <w:pPr>
        <w:rPr>
          <w:rFonts w:ascii="Courier New" w:hAnsi="Courier New" w:cs="Courier New"/>
        </w:rPr>
      </w:pPr>
      <w:r w:rsidRPr="00A35768">
        <w:rPr>
          <w:rFonts w:ascii="Courier New" w:hAnsi="Courier New" w:cs="Courier New"/>
        </w:rPr>
        <w:t>DPYD*2A (c.1905+1G&gt;A):               Not Detected</w:t>
      </w:r>
    </w:p>
    <w:p w14:paraId="7ACF52B6" w14:textId="77777777" w:rsidR="00A35768" w:rsidRPr="00A35768" w:rsidRDefault="00A35768" w:rsidP="00A35768">
      <w:pPr>
        <w:rPr>
          <w:rFonts w:ascii="Courier New" w:hAnsi="Courier New" w:cs="Courier New"/>
        </w:rPr>
      </w:pPr>
      <w:r w:rsidRPr="00A35768">
        <w:rPr>
          <w:rFonts w:ascii="Courier New" w:hAnsi="Courier New" w:cs="Courier New"/>
        </w:rPr>
        <w:t>DPYD c.2846A&gt;T:                      Not Detected</w:t>
      </w:r>
    </w:p>
    <w:p w14:paraId="7EA4FC9C" w14:textId="77777777" w:rsidR="00A35768" w:rsidRPr="00A35768" w:rsidRDefault="00A35768" w:rsidP="00A35768">
      <w:pPr>
        <w:rPr>
          <w:rFonts w:ascii="Courier New" w:hAnsi="Courier New" w:cs="Courier New"/>
        </w:rPr>
      </w:pPr>
      <w:r w:rsidRPr="00A35768">
        <w:rPr>
          <w:rFonts w:ascii="Courier New" w:hAnsi="Courier New" w:cs="Courier New"/>
        </w:rPr>
        <w:t>DPYD*13 (c.1679T&gt;G p.I560S):         Not Detected</w:t>
      </w:r>
    </w:p>
    <w:p w14:paraId="1A7BED7A" w14:textId="77777777" w:rsidR="00A35768" w:rsidRPr="00A35768" w:rsidRDefault="00A35768" w:rsidP="00A35768">
      <w:pPr>
        <w:rPr>
          <w:rFonts w:ascii="Courier New" w:hAnsi="Courier New" w:cs="Courier New"/>
        </w:rPr>
      </w:pPr>
      <w:r w:rsidRPr="00A35768">
        <w:rPr>
          <w:rFonts w:ascii="Courier New" w:hAnsi="Courier New" w:cs="Courier New"/>
        </w:rPr>
        <w:t xml:space="preserve">DPYD HapB3 (c.1236G&gt;A):              Detected           Homozygous   </w:t>
      </w:r>
    </w:p>
    <w:p w14:paraId="1F521E17" w14:textId="77777777" w:rsidR="00A35768" w:rsidRPr="00A35768" w:rsidRDefault="00A35768" w:rsidP="00A35768">
      <w:pPr>
        <w:rPr>
          <w:b/>
          <w:bCs/>
          <w:lang w:val="x-none"/>
        </w:rPr>
      </w:pPr>
      <w:r w:rsidRPr="00A35768">
        <w:rPr>
          <w:b/>
          <w:bCs/>
          <w:lang w:val="x-none"/>
        </w:rPr>
        <w:t>_______________________________________________________________________________</w:t>
      </w:r>
    </w:p>
    <w:p w14:paraId="2C5917BF" w14:textId="77777777" w:rsidR="00A35768" w:rsidRPr="00A35768" w:rsidRDefault="00A35768" w:rsidP="00A35768">
      <w:pPr>
        <w:rPr>
          <w:b/>
          <w:bCs/>
          <w:lang w:val="x-none"/>
        </w:rPr>
      </w:pPr>
    </w:p>
    <w:p w14:paraId="70F0C77C" w14:textId="77777777" w:rsidR="00A35768" w:rsidRPr="00A35768" w:rsidRDefault="00A35768" w:rsidP="00A35768">
      <w:pPr>
        <w:rPr>
          <w:b/>
          <w:bCs/>
          <w:lang w:val="x-none"/>
        </w:rPr>
      </w:pPr>
      <w:r w:rsidRPr="00A35768">
        <w:rPr>
          <w:b/>
          <w:bCs/>
        </w:rPr>
        <w:t>I</w:t>
      </w:r>
      <w:proofErr w:type="spellStart"/>
      <w:r w:rsidRPr="00A35768">
        <w:rPr>
          <w:b/>
          <w:bCs/>
          <w:lang w:val="x-none"/>
        </w:rPr>
        <w:t>nterpretation</w:t>
      </w:r>
      <w:proofErr w:type="spellEnd"/>
      <w:r w:rsidRPr="00A35768">
        <w:rPr>
          <w:b/>
          <w:bCs/>
          <w:lang w:val="x-none"/>
        </w:rPr>
        <w:t>:</w:t>
      </w:r>
    </w:p>
    <w:p w14:paraId="6021DCBA" w14:textId="77777777" w:rsidR="00A35768" w:rsidRPr="00A35768" w:rsidRDefault="00A35768" w:rsidP="00A35768">
      <w:pPr>
        <w:rPr>
          <w:lang w:val="x-none"/>
        </w:rPr>
      </w:pPr>
      <w:r w:rsidRPr="00A35768">
        <w:rPr>
          <w:lang w:val="x-none"/>
        </w:rPr>
        <w:t>Homozygous HapB3 c.1236G&gt;A carriers are assigned as Intermediate Metabolisers with an activity score of 1.0 by the Clinical Pharmacogenetics Implementation Consortium (CPIC). However this is predictive rather than based on prospective studies. Evidence from other sources suggests that the homozygous genotype cannot accurately predict the DPD enzyme activity level (Lunenburg 2019, PMID: 31745289). Therefore it is not known if the 50% dose reduction recommended for heterozygous carriers is a sufficient reduction for homozygous carriers. Some recommendations suggest clinical judgement in consideration of a greater dose reduction or the use of alternative therapies (The UK Chemotherapy Board; Lunenburg 2019, PMID: 31745289).</w:t>
      </w:r>
    </w:p>
    <w:p w14:paraId="0E1DAF01" w14:textId="77777777" w:rsidR="00A35768" w:rsidRPr="00A35768" w:rsidRDefault="00A35768" w:rsidP="00A35768">
      <w:pPr>
        <w:rPr>
          <w:lang w:val="x-none"/>
        </w:rPr>
      </w:pPr>
    </w:p>
    <w:p w14:paraId="23CF6E44" w14:textId="77777777" w:rsidR="00A35768" w:rsidRPr="00A35768" w:rsidRDefault="00A35768" w:rsidP="00A35768">
      <w:pPr>
        <w:rPr>
          <w:lang w:val="x-none"/>
        </w:rPr>
      </w:pPr>
      <w:r w:rsidRPr="00A35768">
        <w:rPr>
          <w:b/>
          <w:bCs/>
          <w:lang w:val="x-none"/>
        </w:rPr>
        <w:t>Background:</w:t>
      </w:r>
    </w:p>
    <w:p w14:paraId="67C5E351" w14:textId="77777777" w:rsidR="00A35768" w:rsidRPr="00A35768" w:rsidRDefault="00A35768" w:rsidP="00A35768">
      <w:pPr>
        <w:rPr>
          <w:lang w:val="x-none"/>
        </w:rPr>
      </w:pPr>
      <w:r w:rsidRPr="00A35768">
        <w:rPr>
          <w:lang w:val="x-none"/>
        </w:rPr>
        <w:t xml:space="preserve">Fluoropyrimidine drugs (such as 5-fluorouracil and capecitabine) are used to treat different types of cancer. However, these drugs may cause severe toxicity in about 10% to 40% of patients. A deficiency in the </w:t>
      </w:r>
      <w:proofErr w:type="spellStart"/>
      <w:r w:rsidRPr="00A35768">
        <w:rPr>
          <w:lang w:val="x-none"/>
        </w:rPr>
        <w:t>dihydropyrimidine</w:t>
      </w:r>
      <w:proofErr w:type="spellEnd"/>
      <w:r w:rsidRPr="00A35768">
        <w:rPr>
          <w:lang w:val="x-none"/>
        </w:rPr>
        <w:t xml:space="preserve"> dehydrogenase (DPD) enzyme, encoded by the DPYD gene, </w:t>
      </w:r>
      <w:r w:rsidRPr="00A35768">
        <w:rPr>
          <w:lang w:val="x-none"/>
        </w:rPr>
        <w:lastRenderedPageBreak/>
        <w:t>increases the risk of severe toxicity. DPYD genotyping aims to identify variants that lead to DPD deficiency and may help to identify people who are at higher risk of developing severe toxicity, allowing their treatment to be modified before it begins.</w:t>
      </w:r>
    </w:p>
    <w:p w14:paraId="2DAE989B" w14:textId="77777777" w:rsidR="00A35768" w:rsidRPr="00A35768" w:rsidRDefault="00A35768" w:rsidP="00A35768">
      <w:pPr>
        <w:rPr>
          <w:lang w:val="x-none"/>
        </w:rPr>
      </w:pPr>
    </w:p>
    <w:p w14:paraId="1E2147A8" w14:textId="77777777" w:rsidR="00A35768" w:rsidRPr="00A35768" w:rsidRDefault="00A35768" w:rsidP="00A35768">
      <w:pPr>
        <w:rPr>
          <w:lang w:val="x-none"/>
        </w:rPr>
      </w:pPr>
      <w:r w:rsidRPr="00A35768">
        <w:rPr>
          <w:b/>
          <w:bCs/>
          <w:lang w:val="x-none"/>
        </w:rPr>
        <w:t>Method:</w:t>
      </w:r>
    </w:p>
    <w:p w14:paraId="7DC6A73C" w14:textId="77777777" w:rsidR="00A35768" w:rsidRPr="00A35768" w:rsidRDefault="00A35768" w:rsidP="00A35768">
      <w:pPr>
        <w:rPr>
          <w:i/>
          <w:iCs/>
          <w:lang w:val="x-none"/>
        </w:rPr>
      </w:pPr>
      <w:r w:rsidRPr="00A35768">
        <w:rPr>
          <w:i/>
          <w:iCs/>
          <w:lang w:val="x-none"/>
        </w:rPr>
        <w:t>Platform:</w:t>
      </w:r>
    </w:p>
    <w:p w14:paraId="490A9345" w14:textId="77777777" w:rsidR="00A35768" w:rsidRPr="00A35768" w:rsidRDefault="00A35768" w:rsidP="00A35768">
      <w:pPr>
        <w:rPr>
          <w:lang w:val="x-none"/>
        </w:rPr>
      </w:pPr>
      <w:r w:rsidRPr="00A35768">
        <w:rPr>
          <w:lang w:val="x-none"/>
        </w:rPr>
        <w:t xml:space="preserve">DNA isolated from peripheral blood leukocytes was analysed using a custom-designed </w:t>
      </w:r>
      <w:proofErr w:type="spellStart"/>
      <w:r w:rsidRPr="00A35768">
        <w:rPr>
          <w:lang w:val="x-none"/>
        </w:rPr>
        <w:t>rhAmpSeq</w:t>
      </w:r>
      <w:proofErr w:type="spellEnd"/>
      <w:r w:rsidRPr="00A35768">
        <w:rPr>
          <w:lang w:val="x-none"/>
        </w:rPr>
        <w:t xml:space="preserve"> amplicon panel manufactured by Integrated DNA Technologies and sequenced using the Illumina </w:t>
      </w:r>
      <w:proofErr w:type="spellStart"/>
      <w:r w:rsidRPr="00A35768">
        <w:rPr>
          <w:lang w:val="x-none"/>
        </w:rPr>
        <w:t>MiSeq</w:t>
      </w:r>
      <w:proofErr w:type="spellEnd"/>
      <w:r w:rsidRPr="00A35768">
        <w:rPr>
          <w:lang w:val="x-none"/>
        </w:rPr>
        <w:t xml:space="preserve"> Sequencing System. This assay achieves &gt;98% of bases with depth of coverage &gt;250x.</w:t>
      </w:r>
    </w:p>
    <w:p w14:paraId="35C09C41" w14:textId="77777777" w:rsidR="00A35768" w:rsidRPr="00A35768" w:rsidRDefault="00A35768" w:rsidP="00A35768">
      <w:pPr>
        <w:rPr>
          <w:i/>
          <w:iCs/>
          <w:lang w:val="x-none"/>
        </w:rPr>
      </w:pPr>
      <w:r w:rsidRPr="00A35768">
        <w:rPr>
          <w:i/>
          <w:iCs/>
          <w:lang w:val="x-none"/>
        </w:rPr>
        <w:t>Bioinformatics:</w:t>
      </w:r>
    </w:p>
    <w:p w14:paraId="39372974" w14:textId="77777777" w:rsidR="00A35768" w:rsidRPr="00A35768" w:rsidRDefault="00A35768" w:rsidP="00A35768">
      <w:pPr>
        <w:rPr>
          <w:lang w:val="x-none"/>
        </w:rPr>
      </w:pPr>
      <w:r w:rsidRPr="00A35768">
        <w:rPr>
          <w:lang w:val="x-none"/>
        </w:rPr>
        <w:t xml:space="preserve">Sequences were aligned to the human reference genome (GRCh38) using Burrows-Wheeler Aligner. Variant calling was performed using </w:t>
      </w:r>
      <w:proofErr w:type="spellStart"/>
      <w:r w:rsidRPr="00A35768">
        <w:rPr>
          <w:lang w:val="x-none"/>
        </w:rPr>
        <w:t>VarDict</w:t>
      </w:r>
      <w:proofErr w:type="spellEnd"/>
      <w:r w:rsidRPr="00A35768">
        <w:rPr>
          <w:lang w:val="x-none"/>
        </w:rPr>
        <w:t>. This method detects single nucleotide variants and small insertion/deletion variants within targeted regions. The assay sensitivity is specific for each individual variant and is dependent on DNA quality and quantity; however, at the target read depth the lower limit of detection of the assay is estimated to be around 5% mutant DNA in a background of 'wild-type' DNA (i.e. variant allele frequency, VAF).</w:t>
      </w:r>
    </w:p>
    <w:p w14:paraId="143E17B1" w14:textId="77777777" w:rsidR="00A35768" w:rsidRPr="00A35768" w:rsidRDefault="00A35768" w:rsidP="00A35768">
      <w:pPr>
        <w:rPr>
          <w:lang w:val="x-none"/>
        </w:rPr>
      </w:pPr>
      <w:r w:rsidRPr="00A35768">
        <w:rPr>
          <w:lang w:val="x-none"/>
        </w:rPr>
        <w:t>Variant classification:</w:t>
      </w:r>
    </w:p>
    <w:p w14:paraId="2D1F9EE5" w14:textId="77777777" w:rsidR="00A35768" w:rsidRPr="00A35768" w:rsidRDefault="00A35768" w:rsidP="00A35768">
      <w:pPr>
        <w:rPr>
          <w:lang w:val="x-none"/>
        </w:rPr>
      </w:pPr>
      <w:r w:rsidRPr="00A35768">
        <w:rPr>
          <w:lang w:val="x-none"/>
        </w:rPr>
        <w:t xml:space="preserve">Variant annotation was performed using </w:t>
      </w:r>
      <w:proofErr w:type="spellStart"/>
      <w:r w:rsidRPr="00A35768">
        <w:rPr>
          <w:lang w:val="x-none"/>
        </w:rPr>
        <w:t>VariantGrid</w:t>
      </w:r>
      <w:proofErr w:type="spellEnd"/>
      <w:r w:rsidRPr="00A35768">
        <w:rPr>
          <w:lang w:val="x-none"/>
        </w:rPr>
        <w:t xml:space="preserve"> v3. Variants are described according to HGVS nomenclature. Variants are visually inspected in IGV.</w:t>
      </w:r>
    </w:p>
    <w:p w14:paraId="311F7682" w14:textId="77777777" w:rsidR="00A35768" w:rsidRPr="00A35768" w:rsidRDefault="00A35768" w:rsidP="00A35768">
      <w:pPr>
        <w:rPr>
          <w:i/>
          <w:iCs/>
          <w:lang w:val="x-none"/>
        </w:rPr>
      </w:pPr>
      <w:r w:rsidRPr="00A35768">
        <w:rPr>
          <w:i/>
          <w:iCs/>
          <w:lang w:val="x-none"/>
        </w:rPr>
        <w:t>Limitations:</w:t>
      </w:r>
    </w:p>
    <w:p w14:paraId="1F121F5D" w14:textId="77777777" w:rsidR="00A35768" w:rsidRPr="00A35768" w:rsidRDefault="00A35768" w:rsidP="00A35768">
      <w:pPr>
        <w:rPr>
          <w:lang w:val="x-none"/>
        </w:rPr>
      </w:pPr>
      <w:r w:rsidRPr="00A35768">
        <w:rPr>
          <w:lang w:val="x-none"/>
        </w:rPr>
        <w:t xml:space="preserve">The lack of detection of a variant does not exclude the possibility of the presence of clinically relevant genetic variant in patients, for reasons such as to allelic drop-out due to private SNPs or other assay limitations. This method is unable to detect large deletions (including whole exon / whole gene deletions), large insertions, large duplications, structural rearrangements, deep intronic variants and variants in unscreened regions. This assay does NOT test for the c.557A&gt;G p.(Y186C) variant that is commonly observed in individuals of African ancestry. For the HapB3 genotype  “decreased function” is inferred by detecting the </w:t>
      </w:r>
      <w:proofErr w:type="spellStart"/>
      <w:r w:rsidRPr="00A35768">
        <w:rPr>
          <w:lang w:val="x-none"/>
        </w:rPr>
        <w:t>exonic</w:t>
      </w:r>
      <w:proofErr w:type="spellEnd"/>
      <w:r w:rsidRPr="00A35768">
        <w:rPr>
          <w:lang w:val="x-none"/>
        </w:rPr>
        <w:t xml:space="preserve"> tag SNP (c.1236G&gt;A). Recent studies indicate that in rare cases, the causal decreased function variant c.1129-5923C&gt;G may not be present despite having this tag SNP (PMID: 38129972). Although not documented in the literature to date it is possible that the HapB3 c.1129-5923C&gt;G variant may also be present without detection of the c.1236G&gt;A tagging SNP.</w:t>
      </w:r>
    </w:p>
    <w:p w14:paraId="1549E6DD" w14:textId="77777777" w:rsidR="00A35768" w:rsidRPr="00A35768" w:rsidRDefault="00A35768" w:rsidP="00A35768">
      <w:pPr>
        <w:rPr>
          <w:lang w:val="x-none"/>
        </w:rPr>
      </w:pPr>
    </w:p>
    <w:p w14:paraId="4F2A68FA" w14:textId="77777777" w:rsidR="00A35768" w:rsidRPr="00A35768" w:rsidRDefault="00A35768" w:rsidP="00A35768">
      <w:pPr>
        <w:rPr>
          <w:b/>
          <w:bCs/>
          <w:lang w:val="x-none"/>
        </w:rPr>
      </w:pPr>
      <w:r w:rsidRPr="00A35768">
        <w:rPr>
          <w:b/>
          <w:bCs/>
          <w:lang w:val="x-none"/>
        </w:rPr>
        <w:t xml:space="preserve">Genes tested: </w:t>
      </w:r>
    </w:p>
    <w:p w14:paraId="041E9489" w14:textId="61498F38" w:rsidR="00A35768" w:rsidRPr="00A35768" w:rsidRDefault="00A35768" w:rsidP="00A35768">
      <w:pPr>
        <w:rPr>
          <w:lang w:val="x-none"/>
        </w:rPr>
      </w:pPr>
      <w:r w:rsidRPr="00A35768">
        <w:rPr>
          <w:lang w:val="x-none"/>
        </w:rPr>
        <w:t>DPYD (NM_000110.4)</w:t>
      </w:r>
    </w:p>
    <w:p w14:paraId="2434FB5A" w14:textId="77777777" w:rsidR="00A35768" w:rsidRPr="00A35768" w:rsidRDefault="00A35768" w:rsidP="00A35768">
      <w:pPr>
        <w:rPr>
          <w:b/>
          <w:bCs/>
        </w:rPr>
      </w:pPr>
      <w:r w:rsidRPr="00A35768">
        <w:rPr>
          <w:b/>
          <w:bCs/>
        </w:rPr>
        <w:t>References:</w:t>
      </w:r>
    </w:p>
    <w:p w14:paraId="1F9B6C49" w14:textId="77777777" w:rsidR="00A35768" w:rsidRPr="00A35768" w:rsidRDefault="00A35768" w:rsidP="00A35768">
      <w:proofErr w:type="spellStart"/>
      <w:r w:rsidRPr="00A35768">
        <w:t>Ont</w:t>
      </w:r>
      <w:proofErr w:type="spellEnd"/>
      <w:r w:rsidRPr="00A35768">
        <w:t xml:space="preserve"> Health Technol Assess Ser. 2021 Aug 12;21(14):1-186.</w:t>
      </w:r>
    </w:p>
    <w:p w14:paraId="2895F607" w14:textId="77777777" w:rsidR="00A35768" w:rsidRPr="00A35768" w:rsidRDefault="00A35768" w:rsidP="00A35768">
      <w:r w:rsidRPr="00A35768">
        <w:t>https://www.pharmgkb.org/gene/PA145</w:t>
      </w:r>
    </w:p>
    <w:p w14:paraId="1C0C254A" w14:textId="77777777" w:rsidR="00A35768" w:rsidRPr="00A35768" w:rsidRDefault="00A35768" w:rsidP="00A35768">
      <w:r w:rsidRPr="00A35768">
        <w:t>https://cpicpgx.org/guidelines/guideline-for-fluoropyrimidines-and-dpyd/</w:t>
      </w:r>
    </w:p>
    <w:p w14:paraId="18FF4AF2" w14:textId="77777777" w:rsidR="00A35768" w:rsidRPr="00A35768" w:rsidRDefault="00A35768" w:rsidP="00A35768"/>
    <w:p w14:paraId="14EAEF32" w14:textId="77777777" w:rsidR="00A35768" w:rsidRPr="00A35768" w:rsidRDefault="00A35768" w:rsidP="00A35768">
      <w:pPr>
        <w:rPr>
          <w:lang w:val="x-none"/>
        </w:rPr>
      </w:pPr>
    </w:p>
    <w:p w14:paraId="10EDF009" w14:textId="77777777" w:rsidR="00A35768" w:rsidRPr="00A35768" w:rsidRDefault="00A35768" w:rsidP="00A35768">
      <w:pPr>
        <w:rPr>
          <w:lang w:val="x-none"/>
        </w:rPr>
      </w:pPr>
    </w:p>
    <w:p w14:paraId="131E4F1B" w14:textId="77777777" w:rsidR="00A35768" w:rsidRPr="00A35768" w:rsidRDefault="00A35768" w:rsidP="00A35768">
      <w:pPr>
        <w:rPr>
          <w:lang w:val="x-none"/>
        </w:rPr>
      </w:pPr>
      <w:r w:rsidRPr="00A35768">
        <w:rPr>
          <w:lang w:val="x-none"/>
        </w:rPr>
        <w:t xml:space="preserve">End of report </w:t>
      </w:r>
    </w:p>
    <w:p w14:paraId="319C6E03" w14:textId="132FE6D5" w:rsidR="006C1831" w:rsidRPr="006C1831" w:rsidRDefault="0037470A" w:rsidP="006C1831">
      <w:pPr>
        <w:rPr>
          <w:b/>
          <w:bCs/>
          <w:lang w:val="x-none"/>
        </w:rPr>
      </w:pPr>
      <w:r>
        <w:rPr>
          <w:b/>
          <w:bCs/>
          <w:highlight w:val="green"/>
          <w:lang w:val="x-none"/>
        </w:rPr>
        <w:lastRenderedPageBreak/>
        <w:t>Patient B</w:t>
      </w:r>
      <w:r w:rsidR="006C1831" w:rsidRPr="006C1831">
        <w:rPr>
          <w:b/>
          <w:bCs/>
          <w:highlight w:val="green"/>
          <w:lang w:val="x-none"/>
        </w:rPr>
        <w:t xml:space="preserve"> dual </w:t>
      </w:r>
      <w:r w:rsidR="00E44F7E">
        <w:rPr>
          <w:b/>
          <w:bCs/>
          <w:highlight w:val="green"/>
          <w:lang w:val="x-none"/>
        </w:rPr>
        <w:t xml:space="preserve">HET </w:t>
      </w:r>
      <w:r w:rsidR="006C1831" w:rsidRPr="006C1831">
        <w:rPr>
          <w:b/>
          <w:bCs/>
          <w:highlight w:val="green"/>
          <w:lang w:val="x-none"/>
        </w:rPr>
        <w:t xml:space="preserve">variants c.1905+1G&gt;A and c.1236G&gt;A </w:t>
      </w:r>
      <w:r w:rsidR="006C1831" w:rsidRPr="006C1831">
        <w:rPr>
          <w:b/>
          <w:bCs/>
          <w:highlight w:val="green"/>
          <w:lang w:val="x-none"/>
        </w:rPr>
        <w:br/>
      </w:r>
    </w:p>
    <w:p w14:paraId="7E943B11" w14:textId="77777777" w:rsidR="006C1831" w:rsidRDefault="006C1831" w:rsidP="006C1831">
      <w:pPr>
        <w:rPr>
          <w:b/>
          <w:bCs/>
          <w:lang w:val="en-US"/>
        </w:rPr>
      </w:pPr>
    </w:p>
    <w:p w14:paraId="4D5FDE41" w14:textId="3F06AFD4" w:rsidR="006C1831" w:rsidRPr="006C1831" w:rsidRDefault="006C1831" w:rsidP="006C1831">
      <w:pPr>
        <w:rPr>
          <w:lang w:val="x-none"/>
        </w:rPr>
      </w:pPr>
      <w:r w:rsidRPr="006C1831">
        <w:rPr>
          <w:b/>
          <w:bCs/>
          <w:lang w:val="x-none"/>
        </w:rPr>
        <w:t>DPYD Common Variant Screen</w:t>
      </w:r>
    </w:p>
    <w:p w14:paraId="71DE3342" w14:textId="77777777" w:rsidR="006C1831" w:rsidRPr="006C1831" w:rsidRDefault="006C1831" w:rsidP="006C1831">
      <w:pPr>
        <w:rPr>
          <w:lang w:val="x-none"/>
        </w:rPr>
      </w:pPr>
    </w:p>
    <w:p w14:paraId="74616E66" w14:textId="77777777" w:rsidR="006C1831" w:rsidRPr="006C1831" w:rsidRDefault="006C1831" w:rsidP="006C1831">
      <w:pPr>
        <w:rPr>
          <w:lang w:val="x-none"/>
        </w:rPr>
      </w:pPr>
      <w:r w:rsidRPr="006C1831">
        <w:rPr>
          <w:b/>
          <w:bCs/>
          <w:lang w:val="x-none"/>
        </w:rPr>
        <w:t>Test requested:</w:t>
      </w:r>
      <w:r w:rsidRPr="006C1831">
        <w:rPr>
          <w:lang w:val="x-none"/>
        </w:rPr>
        <w:t xml:space="preserve"> DPYD Common Variant Screen</w:t>
      </w:r>
    </w:p>
    <w:p w14:paraId="58D52FF8" w14:textId="03F51FC7" w:rsidR="006C1831" w:rsidRPr="006C1831" w:rsidRDefault="006C1831" w:rsidP="006C1831">
      <w:pPr>
        <w:rPr>
          <w:b/>
          <w:bCs/>
          <w:lang w:val="x-none"/>
        </w:rPr>
      </w:pPr>
      <w:r w:rsidRPr="006C1831">
        <w:rPr>
          <w:b/>
          <w:bCs/>
          <w:lang w:val="x-none"/>
        </w:rPr>
        <w:t xml:space="preserve">Specimen Type: </w:t>
      </w:r>
      <w:r w:rsidRPr="006C1831">
        <w:rPr>
          <w:lang w:val="x-none"/>
        </w:rPr>
        <w:t>Blood</w:t>
      </w:r>
    </w:p>
    <w:p w14:paraId="059E331C" w14:textId="50B67D63" w:rsidR="006C1831" w:rsidRPr="006C1831" w:rsidRDefault="006C1831" w:rsidP="006C1831">
      <w:pPr>
        <w:rPr>
          <w:b/>
          <w:bCs/>
          <w:lang w:val="x-none"/>
        </w:rPr>
      </w:pPr>
      <w:r w:rsidRPr="006C1831">
        <w:rPr>
          <w:b/>
          <w:bCs/>
          <w:lang w:val="x-none"/>
        </w:rPr>
        <w:t>Accession Number:</w:t>
      </w:r>
      <w:r w:rsidRPr="006C1831">
        <w:rPr>
          <w:lang w:val="x-none"/>
        </w:rPr>
        <w:t xml:space="preserve"> </w:t>
      </w:r>
    </w:p>
    <w:p w14:paraId="211B6FDF" w14:textId="77777777" w:rsidR="006C1831" w:rsidRPr="006C1831" w:rsidRDefault="006C1831" w:rsidP="006C1831">
      <w:pPr>
        <w:rPr>
          <w:b/>
          <w:bCs/>
          <w:lang w:val="x-none"/>
        </w:rPr>
      </w:pPr>
    </w:p>
    <w:p w14:paraId="349F886B" w14:textId="77777777" w:rsidR="006C1831" w:rsidRPr="006C1831" w:rsidRDefault="006C1831" w:rsidP="006C1831">
      <w:pPr>
        <w:rPr>
          <w:b/>
          <w:bCs/>
          <w:lang w:val="x-none"/>
        </w:rPr>
      </w:pPr>
    </w:p>
    <w:p w14:paraId="67413282" w14:textId="77777777" w:rsidR="006C1831" w:rsidRPr="006C1831" w:rsidRDefault="006C1831" w:rsidP="006C1831">
      <w:pPr>
        <w:rPr>
          <w:lang w:val="x-none"/>
        </w:rPr>
      </w:pPr>
      <w:r w:rsidRPr="006C1831">
        <w:rPr>
          <w:b/>
          <w:bCs/>
          <w:lang w:val="x-none"/>
        </w:rPr>
        <w:t>Clinical Indication:</w:t>
      </w:r>
      <w:r w:rsidRPr="006C1831">
        <w:rPr>
          <w:lang w:val="x-none"/>
        </w:rPr>
        <w:t xml:space="preserve"> </w:t>
      </w:r>
    </w:p>
    <w:p w14:paraId="4B3B8390" w14:textId="77777777" w:rsidR="006C1831" w:rsidRPr="006C1831" w:rsidRDefault="006C1831" w:rsidP="006C1831">
      <w:pPr>
        <w:rPr>
          <w:lang w:val="x-none"/>
        </w:rPr>
      </w:pPr>
      <w:r w:rsidRPr="006C1831">
        <w:rPr>
          <w:lang w:val="x-none"/>
        </w:rPr>
        <w:t>DPYD genotyping</w:t>
      </w:r>
    </w:p>
    <w:p w14:paraId="4532F917" w14:textId="77777777" w:rsidR="006C1831" w:rsidRPr="006C1831" w:rsidRDefault="006C1831" w:rsidP="006C1831">
      <w:pPr>
        <w:rPr>
          <w:lang w:val="x-none"/>
        </w:rPr>
      </w:pPr>
    </w:p>
    <w:p w14:paraId="4F8AAFA9" w14:textId="77777777" w:rsidR="006C1831" w:rsidRPr="006C1831" w:rsidRDefault="006C1831" w:rsidP="006C1831">
      <w:pPr>
        <w:rPr>
          <w:b/>
          <w:bCs/>
          <w:lang w:val="x-none"/>
        </w:rPr>
      </w:pPr>
      <w:r w:rsidRPr="006C1831">
        <w:rPr>
          <w:b/>
          <w:bCs/>
          <w:lang w:val="x-none"/>
        </w:rPr>
        <w:t>Summary:</w:t>
      </w:r>
    </w:p>
    <w:p w14:paraId="1681CB1A" w14:textId="77777777" w:rsidR="006C1831" w:rsidRPr="006C1831" w:rsidRDefault="006C1831" w:rsidP="006C1831">
      <w:pPr>
        <w:rPr>
          <w:lang w:val="x-none"/>
        </w:rPr>
      </w:pPr>
      <w:r w:rsidRPr="006C1831">
        <w:rPr>
          <w:lang w:val="x-none"/>
        </w:rPr>
        <w:t>Two DPYD alleles were detected.</w:t>
      </w:r>
    </w:p>
    <w:p w14:paraId="0C595CB8" w14:textId="77777777" w:rsidR="006C1831" w:rsidRPr="006C1831" w:rsidRDefault="006C1831" w:rsidP="006C1831">
      <w:pPr>
        <w:rPr>
          <w:lang w:val="x-none"/>
        </w:rPr>
      </w:pPr>
    </w:p>
    <w:p w14:paraId="5B46C221" w14:textId="77777777" w:rsidR="006C1831" w:rsidRPr="006C1831" w:rsidRDefault="006C1831" w:rsidP="006C1831">
      <w:pPr>
        <w:rPr>
          <w:lang w:val="x-none"/>
        </w:rPr>
      </w:pPr>
      <w:r w:rsidRPr="006C1831">
        <w:rPr>
          <w:lang w:val="x-none"/>
        </w:rPr>
        <w:t>The c.1905+1G&gt;A</w:t>
      </w:r>
      <w:r w:rsidRPr="006C1831">
        <w:t xml:space="preserve"> and c.1236G&gt;A allele was DETECTED in the DPYD gene in this specimen.</w:t>
      </w:r>
    </w:p>
    <w:p w14:paraId="44924A2C" w14:textId="77777777" w:rsidR="006C1831" w:rsidRPr="006C1831" w:rsidRDefault="006C1831" w:rsidP="006C1831">
      <w:pPr>
        <w:rPr>
          <w:b/>
          <w:bCs/>
          <w:lang w:val="x-none"/>
        </w:rPr>
      </w:pPr>
      <w:r w:rsidRPr="006C1831">
        <w:rPr>
          <w:b/>
          <w:bCs/>
          <w:lang w:val="x-none"/>
        </w:rPr>
        <w:t>_______________________________________________________________________________</w:t>
      </w:r>
    </w:p>
    <w:p w14:paraId="3B346030" w14:textId="77777777" w:rsidR="006C1831" w:rsidRPr="006C1831" w:rsidRDefault="006C1831" w:rsidP="006C1831">
      <w:pPr>
        <w:rPr>
          <w:b/>
          <w:bCs/>
          <w:lang w:val="x-none"/>
        </w:rPr>
      </w:pPr>
    </w:p>
    <w:p w14:paraId="635AE1FC" w14:textId="2EAD7D8E" w:rsidR="006C1831" w:rsidRPr="006C1831" w:rsidRDefault="006C1831" w:rsidP="006C1831">
      <w:pPr>
        <w:rPr>
          <w:b/>
          <w:bCs/>
          <w:lang w:val="x-none"/>
        </w:rPr>
      </w:pPr>
      <w:r w:rsidRPr="006C1831">
        <w:rPr>
          <w:b/>
          <w:bCs/>
          <w:lang w:val="x-none"/>
        </w:rPr>
        <w:t xml:space="preserve">Results:                                                                                                      </w:t>
      </w:r>
      <w:r>
        <w:rPr>
          <w:b/>
          <w:bCs/>
          <w:lang w:val="x-none"/>
        </w:rPr>
        <w:t xml:space="preserve">       </w:t>
      </w:r>
      <w:r w:rsidRPr="006C1831">
        <w:rPr>
          <w:b/>
          <w:bCs/>
          <w:lang w:val="x-none"/>
        </w:rPr>
        <w:t>Zygosity:</w:t>
      </w:r>
    </w:p>
    <w:p w14:paraId="309C6481" w14:textId="77777777" w:rsidR="006C1831" w:rsidRPr="006C1831" w:rsidRDefault="006C1831" w:rsidP="006C1831">
      <w:pPr>
        <w:rPr>
          <w:rFonts w:ascii="Courier New" w:hAnsi="Courier New" w:cs="Courier New"/>
        </w:rPr>
      </w:pPr>
      <w:r w:rsidRPr="006C1831">
        <w:rPr>
          <w:rFonts w:ascii="Courier New" w:hAnsi="Courier New" w:cs="Courier New"/>
        </w:rPr>
        <w:t xml:space="preserve">DPYD*2A (c.1905+1G&gt;A):               Detected            Heterozygous     </w:t>
      </w:r>
    </w:p>
    <w:p w14:paraId="7AC8682D" w14:textId="77777777" w:rsidR="006C1831" w:rsidRPr="006C1831" w:rsidRDefault="006C1831" w:rsidP="006C1831">
      <w:pPr>
        <w:rPr>
          <w:rFonts w:ascii="Courier New" w:hAnsi="Courier New" w:cs="Courier New"/>
        </w:rPr>
      </w:pPr>
      <w:r w:rsidRPr="006C1831">
        <w:rPr>
          <w:rFonts w:ascii="Courier New" w:hAnsi="Courier New" w:cs="Courier New"/>
        </w:rPr>
        <w:t xml:space="preserve">DPYD c.2846A&gt;T:                      Not Detected            </w:t>
      </w:r>
    </w:p>
    <w:p w14:paraId="755172D7" w14:textId="77777777" w:rsidR="006C1831" w:rsidRPr="006C1831" w:rsidRDefault="006C1831" w:rsidP="006C1831">
      <w:pPr>
        <w:rPr>
          <w:rFonts w:ascii="Courier New" w:hAnsi="Courier New" w:cs="Courier New"/>
        </w:rPr>
      </w:pPr>
      <w:r w:rsidRPr="006C1831">
        <w:rPr>
          <w:rFonts w:ascii="Courier New" w:hAnsi="Courier New" w:cs="Courier New"/>
        </w:rPr>
        <w:t>DPYD*13 (c.1679T&gt;G p.I560S):         Not Detected</w:t>
      </w:r>
    </w:p>
    <w:p w14:paraId="50AFA2E8" w14:textId="77777777" w:rsidR="006C1831" w:rsidRPr="006C1831" w:rsidRDefault="006C1831" w:rsidP="006C1831">
      <w:pPr>
        <w:rPr>
          <w:rFonts w:ascii="Courier New" w:hAnsi="Courier New" w:cs="Courier New"/>
        </w:rPr>
      </w:pPr>
      <w:r w:rsidRPr="006C1831">
        <w:rPr>
          <w:rFonts w:ascii="Courier New" w:hAnsi="Courier New" w:cs="Courier New"/>
        </w:rPr>
        <w:t>DPYD HapB3 (c.1236G&gt;A):              Detected            Heterozygous</w:t>
      </w:r>
    </w:p>
    <w:p w14:paraId="7D098168" w14:textId="77777777" w:rsidR="006C1831" w:rsidRPr="006C1831" w:rsidRDefault="006C1831" w:rsidP="006C1831">
      <w:pPr>
        <w:rPr>
          <w:b/>
          <w:bCs/>
          <w:lang w:val="x-none"/>
        </w:rPr>
      </w:pPr>
      <w:r w:rsidRPr="006C1831">
        <w:rPr>
          <w:b/>
          <w:bCs/>
          <w:lang w:val="x-none"/>
        </w:rPr>
        <w:t>_______________________________________________________________________________</w:t>
      </w:r>
    </w:p>
    <w:p w14:paraId="70B67EE5" w14:textId="77777777" w:rsidR="006C1831" w:rsidRPr="006C1831" w:rsidRDefault="006C1831" w:rsidP="006C1831">
      <w:pPr>
        <w:rPr>
          <w:b/>
          <w:bCs/>
          <w:lang w:val="x-none"/>
        </w:rPr>
      </w:pPr>
    </w:p>
    <w:p w14:paraId="242F0ACF" w14:textId="77777777" w:rsidR="006C1831" w:rsidRPr="006C1831" w:rsidRDefault="006C1831" w:rsidP="006C1831">
      <w:pPr>
        <w:rPr>
          <w:b/>
          <w:bCs/>
          <w:lang w:val="x-none"/>
        </w:rPr>
      </w:pPr>
      <w:r w:rsidRPr="006C1831">
        <w:rPr>
          <w:b/>
          <w:bCs/>
        </w:rPr>
        <w:t>I</w:t>
      </w:r>
      <w:proofErr w:type="spellStart"/>
      <w:r w:rsidRPr="006C1831">
        <w:rPr>
          <w:b/>
          <w:bCs/>
          <w:lang w:val="x-none"/>
        </w:rPr>
        <w:t>nterpretation</w:t>
      </w:r>
      <w:proofErr w:type="spellEnd"/>
      <w:r w:rsidRPr="006C1831">
        <w:rPr>
          <w:b/>
          <w:bCs/>
          <w:lang w:val="x-none"/>
        </w:rPr>
        <w:t>:</w:t>
      </w:r>
    </w:p>
    <w:p w14:paraId="3BBE652A" w14:textId="6EF9307D" w:rsidR="006C1831" w:rsidRPr="006C1831" w:rsidRDefault="006C1831" w:rsidP="006C1831">
      <w:r w:rsidRPr="006C1831">
        <w:t xml:space="preserve">Heterozygous </w:t>
      </w:r>
      <w:proofErr w:type="spellStart"/>
      <w:r w:rsidRPr="006C1831">
        <w:t>diplotype</w:t>
      </w:r>
      <w:proofErr w:type="spellEnd"/>
      <w:r w:rsidRPr="006C1831">
        <w:t xml:space="preserve"> carriers of the c.1905+1G&gt;A and the c.1236G&gt;A alleles are assigned as Poor Metabolisers with an activity score of 0.5 by the Clinical Pharmacogenetics Implementation Consortium (CPIC). </w:t>
      </w:r>
      <w:proofErr w:type="gramStart"/>
      <w:r w:rsidRPr="006C1831">
        <w:t>However</w:t>
      </w:r>
      <w:proofErr w:type="gramEnd"/>
      <w:r w:rsidRPr="006C1831">
        <w:t xml:space="preserve"> this is predictive rather than based on prospective studies.  </w:t>
      </w:r>
      <w:proofErr w:type="gramStart"/>
      <w:r w:rsidRPr="006C1831">
        <w:t>Therefore</w:t>
      </w:r>
      <w:proofErr w:type="gramEnd"/>
      <w:r w:rsidRPr="006C1831">
        <w:t xml:space="preserve"> it is not known if the 50% dose reduction is a sufficient reduction for these types of carriers. Some recommendations suggest clinical judgement in consideration of a strongly reduced dose or the use of alternative therapies. (PMID: 31745289,28520376).</w:t>
      </w:r>
    </w:p>
    <w:p w14:paraId="123BDE6B" w14:textId="77777777" w:rsidR="006C1831" w:rsidRPr="006C1831" w:rsidRDefault="006C1831" w:rsidP="006C1831">
      <w:r w:rsidRPr="006C1831">
        <w:t>Please note:</w:t>
      </w:r>
    </w:p>
    <w:p w14:paraId="1DD06067" w14:textId="77777777" w:rsidR="006C1831" w:rsidRPr="006C1831" w:rsidRDefault="006C1831" w:rsidP="006C1831"/>
    <w:p w14:paraId="5E0F055D" w14:textId="77777777" w:rsidR="006C1831" w:rsidRPr="006C1831" w:rsidRDefault="006C1831" w:rsidP="006C1831">
      <w:pPr>
        <w:rPr>
          <w:b/>
          <w:bCs/>
          <w:lang w:val="x-none"/>
        </w:rPr>
      </w:pPr>
      <w:r w:rsidRPr="006C1831">
        <w:lastRenderedPageBreak/>
        <w:t xml:space="preserve">For the HapB3 genotype “decreased function” is inferred by detecting the </w:t>
      </w:r>
      <w:proofErr w:type="spellStart"/>
      <w:r w:rsidRPr="006C1831">
        <w:t>exonic</w:t>
      </w:r>
      <w:proofErr w:type="spellEnd"/>
      <w:r w:rsidRPr="006C1831">
        <w:t xml:space="preserve"> tag SNP (c.1236G&gt;A). Recent studies indicate that in rare cases, the causal decreased function variant c.1129-5923C&gt;G may not be present despite having this tag SNP (PMID: PMID: 38129972)</w:t>
      </w:r>
    </w:p>
    <w:p w14:paraId="014DB89A" w14:textId="77777777" w:rsidR="006C1831" w:rsidRPr="006C1831" w:rsidRDefault="006C1831" w:rsidP="006C1831">
      <w:pPr>
        <w:rPr>
          <w:b/>
          <w:bCs/>
          <w:lang w:val="x-none"/>
        </w:rPr>
      </w:pPr>
    </w:p>
    <w:p w14:paraId="1DAF8A12" w14:textId="77777777" w:rsidR="006C1831" w:rsidRPr="006C1831" w:rsidRDefault="006C1831" w:rsidP="006C1831">
      <w:pPr>
        <w:rPr>
          <w:lang w:val="x-none"/>
        </w:rPr>
      </w:pPr>
      <w:r w:rsidRPr="006C1831">
        <w:rPr>
          <w:b/>
          <w:bCs/>
          <w:lang w:val="x-none"/>
        </w:rPr>
        <w:t>Background:</w:t>
      </w:r>
    </w:p>
    <w:p w14:paraId="725088C3" w14:textId="77777777" w:rsidR="006C1831" w:rsidRPr="006C1831" w:rsidRDefault="006C1831" w:rsidP="006C1831">
      <w:pPr>
        <w:rPr>
          <w:lang w:val="x-none"/>
        </w:rPr>
      </w:pPr>
      <w:r w:rsidRPr="006C1831">
        <w:rPr>
          <w:lang w:val="x-none"/>
        </w:rPr>
        <w:t xml:space="preserve">Fluoropyrimidine drugs (such as 5-fluorouracil and capecitabine) are used to treat different types of cancer. However, these drugs may cause severe toxicity in about 10% to 40% of patients. A deficiency in the </w:t>
      </w:r>
      <w:proofErr w:type="spellStart"/>
      <w:r w:rsidRPr="006C1831">
        <w:rPr>
          <w:lang w:val="x-none"/>
        </w:rPr>
        <w:t>dihydropyrimidine</w:t>
      </w:r>
      <w:proofErr w:type="spellEnd"/>
      <w:r w:rsidRPr="006C1831">
        <w:rPr>
          <w:lang w:val="x-none"/>
        </w:rPr>
        <w:t xml:space="preserve"> dehydrogenase (DPD) enzyme, encoded by the DPYD gene, increases the risk of severe toxicity. DPYD genotyping aims to identify variants that lead to DPD deficiency and may help to identify people who are at higher risk of developing severe toxicity, allowing their treatment to be modified before it begins.</w:t>
      </w:r>
    </w:p>
    <w:p w14:paraId="169B9D56" w14:textId="77777777" w:rsidR="006C1831" w:rsidRPr="006C1831" w:rsidRDefault="006C1831" w:rsidP="006C1831">
      <w:pPr>
        <w:rPr>
          <w:lang w:val="x-none"/>
        </w:rPr>
      </w:pPr>
    </w:p>
    <w:p w14:paraId="6AEFAB1B" w14:textId="77777777" w:rsidR="006C1831" w:rsidRPr="006C1831" w:rsidRDefault="006C1831" w:rsidP="006C1831">
      <w:pPr>
        <w:rPr>
          <w:lang w:val="x-none"/>
        </w:rPr>
      </w:pPr>
      <w:r w:rsidRPr="006C1831">
        <w:rPr>
          <w:b/>
          <w:bCs/>
          <w:lang w:val="x-none"/>
        </w:rPr>
        <w:t>Method:</w:t>
      </w:r>
    </w:p>
    <w:p w14:paraId="078413DD" w14:textId="77777777" w:rsidR="006C1831" w:rsidRPr="006C1831" w:rsidRDefault="006C1831" w:rsidP="006C1831">
      <w:pPr>
        <w:rPr>
          <w:i/>
          <w:iCs/>
        </w:rPr>
      </w:pPr>
      <w:r w:rsidRPr="006C1831">
        <w:rPr>
          <w:i/>
          <w:iCs/>
        </w:rPr>
        <w:t>Platform:</w:t>
      </w:r>
    </w:p>
    <w:p w14:paraId="70FAABDF" w14:textId="77777777" w:rsidR="006C1831" w:rsidRPr="006C1831" w:rsidRDefault="006C1831" w:rsidP="006C1831">
      <w:r w:rsidRPr="006C1831">
        <w:t xml:space="preserve">DNA isolated from peripheral blood leukocytes was analysed using a custom-designed </w:t>
      </w:r>
      <w:proofErr w:type="spellStart"/>
      <w:r w:rsidRPr="006C1831">
        <w:t>rhAmpSeq</w:t>
      </w:r>
      <w:proofErr w:type="spellEnd"/>
      <w:r w:rsidRPr="006C1831">
        <w:t xml:space="preserve"> amplicon panel manufactured by Integrated DNA Technologies and sequenced using the Illumina </w:t>
      </w:r>
      <w:proofErr w:type="spellStart"/>
      <w:r w:rsidRPr="006C1831">
        <w:t>MiSeq</w:t>
      </w:r>
      <w:proofErr w:type="spellEnd"/>
      <w:r w:rsidRPr="006C1831">
        <w:t xml:space="preserve"> Sequencing System. This assay achieves &gt;98% of bases with depth of coverage &gt;250x. </w:t>
      </w:r>
    </w:p>
    <w:p w14:paraId="5BA078C1" w14:textId="77777777" w:rsidR="006C1831" w:rsidRPr="006C1831" w:rsidRDefault="006C1831" w:rsidP="006C1831">
      <w:pPr>
        <w:rPr>
          <w:i/>
          <w:iCs/>
        </w:rPr>
      </w:pPr>
      <w:r w:rsidRPr="006C1831">
        <w:rPr>
          <w:i/>
          <w:iCs/>
        </w:rPr>
        <w:t>Bioinformatics:</w:t>
      </w:r>
    </w:p>
    <w:p w14:paraId="36456FF0" w14:textId="77777777" w:rsidR="006C1831" w:rsidRPr="006C1831" w:rsidRDefault="006C1831" w:rsidP="006C1831">
      <w:r w:rsidRPr="006C1831">
        <w:t xml:space="preserve">Sequences were aligned to the human reference genome (GRCh38) using Burrows-Wheeler Aligner. Variant calling was performed using </w:t>
      </w:r>
      <w:proofErr w:type="spellStart"/>
      <w:r w:rsidRPr="006C1831">
        <w:t>VarDict</w:t>
      </w:r>
      <w:proofErr w:type="spellEnd"/>
      <w:r w:rsidRPr="006C1831">
        <w:t>. This method detects single nucleotide variants and small insertion/deletion variants within targeted regions. The assay sensitivity is specific for each individual variant and is dependent on DNA quality and quantity; however, at the target read depth the lower limit of detection of the assay is estimated to be around 5% mutant DNA in a background of 'wild-type' DNA (i.e., variant allele frequency, VAF).</w:t>
      </w:r>
    </w:p>
    <w:p w14:paraId="20E40C47" w14:textId="77777777" w:rsidR="006C1831" w:rsidRPr="006C1831" w:rsidRDefault="006C1831" w:rsidP="006C1831">
      <w:pPr>
        <w:rPr>
          <w:i/>
          <w:iCs/>
        </w:rPr>
      </w:pPr>
      <w:r w:rsidRPr="006C1831">
        <w:rPr>
          <w:i/>
          <w:iCs/>
        </w:rPr>
        <w:t>Variant classification:</w:t>
      </w:r>
    </w:p>
    <w:p w14:paraId="67B7BB36" w14:textId="77777777" w:rsidR="006C1831" w:rsidRPr="006C1831" w:rsidRDefault="006C1831" w:rsidP="006C1831">
      <w:r w:rsidRPr="006C1831">
        <w:t xml:space="preserve">Variant annotation was performed using </w:t>
      </w:r>
      <w:proofErr w:type="spellStart"/>
      <w:r w:rsidRPr="006C1831">
        <w:t>VariantGrid</w:t>
      </w:r>
      <w:proofErr w:type="spellEnd"/>
      <w:r w:rsidRPr="006C1831">
        <w:t xml:space="preserve"> v3. Variants are described according to HGVS nomenclature. Variants are visually inspected in IGV.</w:t>
      </w:r>
    </w:p>
    <w:p w14:paraId="0E95E208" w14:textId="77777777" w:rsidR="006C1831" w:rsidRPr="006C1831" w:rsidRDefault="006C1831" w:rsidP="006C1831">
      <w:pPr>
        <w:rPr>
          <w:i/>
          <w:iCs/>
        </w:rPr>
      </w:pPr>
      <w:r w:rsidRPr="006C1831">
        <w:rPr>
          <w:i/>
          <w:iCs/>
        </w:rPr>
        <w:t>Limitations:</w:t>
      </w:r>
    </w:p>
    <w:p w14:paraId="270D1776" w14:textId="77777777" w:rsidR="006C1831" w:rsidRPr="006C1831" w:rsidRDefault="006C1831" w:rsidP="006C1831">
      <w:r w:rsidRPr="006C1831">
        <w:t xml:space="preserve">The lack of detection of a variant does not exclude the possibility of the presence of a clinically relevant genetic variant in patients, for reasons such as to allelic drop-out due to private SNPs or other assay limitations. This method is unable to detect large deletions (including whole exon / whole gene deletions), large insertions, large duplications, structural rearrangements, deep intronic variants and variants in unscreened regions. This assay does NOT test for the c.557A&gt;G p.(Y186C) variant that is commonly observed in individuals of African ancestry. For the HapB3 genotype “decreased function” is inferred by detecting the </w:t>
      </w:r>
      <w:proofErr w:type="spellStart"/>
      <w:r w:rsidRPr="006C1831">
        <w:t>exonic</w:t>
      </w:r>
      <w:proofErr w:type="spellEnd"/>
      <w:r w:rsidRPr="006C1831">
        <w:t xml:space="preserve"> tag SNP (c.1236G&gt;A). Recent studies indicate that in rare cases, the causal decreased function variant c.1129-5923C&gt;G may not be present despite having this tag SNP (PMID: PMID: 38129972). Although not documented in the literature to date it is possible that the HapB3 c.1129-5923C&gt;G variant may also be present without detection of the c.1236G&gt;A tagging SNP.</w:t>
      </w:r>
    </w:p>
    <w:p w14:paraId="3C49D971" w14:textId="77777777" w:rsidR="006C1831" w:rsidRPr="006C1831" w:rsidRDefault="006C1831" w:rsidP="006C1831">
      <w:pPr>
        <w:rPr>
          <w:lang w:val="x-none"/>
        </w:rPr>
      </w:pPr>
    </w:p>
    <w:p w14:paraId="78279A24" w14:textId="77777777" w:rsidR="006C1831" w:rsidRPr="006C1831" w:rsidRDefault="006C1831" w:rsidP="006C1831">
      <w:pPr>
        <w:rPr>
          <w:b/>
          <w:bCs/>
          <w:lang w:val="x-none"/>
        </w:rPr>
      </w:pPr>
      <w:r w:rsidRPr="006C1831">
        <w:rPr>
          <w:b/>
          <w:bCs/>
          <w:lang w:val="x-none"/>
        </w:rPr>
        <w:t xml:space="preserve">Genes tested: </w:t>
      </w:r>
    </w:p>
    <w:p w14:paraId="22514BF8" w14:textId="77777777" w:rsidR="006C1831" w:rsidRPr="006C1831" w:rsidRDefault="006C1831" w:rsidP="006C1831">
      <w:pPr>
        <w:rPr>
          <w:lang w:val="x-none"/>
        </w:rPr>
      </w:pPr>
      <w:r w:rsidRPr="006C1831">
        <w:rPr>
          <w:lang w:val="x-none"/>
        </w:rPr>
        <w:t>DPYD (NM_000110.4)</w:t>
      </w:r>
    </w:p>
    <w:p w14:paraId="23DC2A5C" w14:textId="77777777" w:rsidR="006C1831" w:rsidRPr="006C1831" w:rsidRDefault="006C1831" w:rsidP="006C1831">
      <w:pPr>
        <w:rPr>
          <w:lang w:val="x-none"/>
        </w:rPr>
      </w:pPr>
    </w:p>
    <w:p w14:paraId="5051C6EA" w14:textId="77777777" w:rsidR="006C1831" w:rsidRPr="006C1831" w:rsidRDefault="006C1831" w:rsidP="006C1831">
      <w:pPr>
        <w:rPr>
          <w:b/>
          <w:bCs/>
        </w:rPr>
      </w:pPr>
      <w:r w:rsidRPr="006C1831">
        <w:rPr>
          <w:b/>
          <w:bCs/>
        </w:rPr>
        <w:t>References:</w:t>
      </w:r>
    </w:p>
    <w:p w14:paraId="6C48E163" w14:textId="77777777" w:rsidR="006C1831" w:rsidRPr="006C1831" w:rsidRDefault="006C1831" w:rsidP="006C1831">
      <w:proofErr w:type="spellStart"/>
      <w:r w:rsidRPr="006C1831">
        <w:lastRenderedPageBreak/>
        <w:t>Ont</w:t>
      </w:r>
      <w:proofErr w:type="spellEnd"/>
      <w:r w:rsidRPr="006C1831">
        <w:t xml:space="preserve"> Health Technol Assess Ser. 2021 Aug 12;21(14):1-186.</w:t>
      </w:r>
    </w:p>
    <w:p w14:paraId="42FB7FC3" w14:textId="77777777" w:rsidR="006C1831" w:rsidRPr="006C1831" w:rsidRDefault="006C1831" w:rsidP="006C1831">
      <w:r w:rsidRPr="006C1831">
        <w:t>https://www.pharmgkb.org/gene/PA145</w:t>
      </w:r>
    </w:p>
    <w:p w14:paraId="45612BCA" w14:textId="77777777" w:rsidR="006C1831" w:rsidRPr="006C1831" w:rsidRDefault="006C1831" w:rsidP="006C1831">
      <w:r w:rsidRPr="006C1831">
        <w:t>https://cpicpgx.org/guidelines/guideline-for-fluoropyrimidines-and-dpyd/</w:t>
      </w:r>
    </w:p>
    <w:p w14:paraId="3BD9B6F4" w14:textId="77777777" w:rsidR="006C1831" w:rsidRPr="006C1831" w:rsidRDefault="006C1831" w:rsidP="006C1831">
      <w:r w:rsidRPr="006C1831">
        <w:t xml:space="preserve">Lunenburg, Carin A. T. C., Cathelijne H. van der </w:t>
      </w:r>
      <w:proofErr w:type="spellStart"/>
      <w:r w:rsidRPr="006C1831">
        <w:t>Wouden</w:t>
      </w:r>
      <w:proofErr w:type="spellEnd"/>
      <w:r w:rsidRPr="006C1831">
        <w:t xml:space="preserve">, Marga Nijenhuis, Mandy H. Crommentuijn-van </w:t>
      </w:r>
      <w:proofErr w:type="spellStart"/>
      <w:r w:rsidRPr="006C1831">
        <w:t>Rhenen</w:t>
      </w:r>
      <w:proofErr w:type="spellEnd"/>
      <w:r w:rsidRPr="006C1831">
        <w:t xml:space="preserve">, Nienke J. de Boer-Veger, Anne Marie Buunk, Elisa J. F. </w:t>
      </w:r>
      <w:proofErr w:type="spellStart"/>
      <w:r w:rsidRPr="006C1831">
        <w:t>Houwink</w:t>
      </w:r>
      <w:proofErr w:type="spellEnd"/>
      <w:r w:rsidRPr="006C1831">
        <w:t>, et al. 2019. “Dutch Pharmacogenetics Working Group (DPWG) Guideline for the Gene–drug Interaction of DPYD and Fluoropyrimidines.” European Journal of Human Genetics: EJHG 28 (4): 508–17</w:t>
      </w:r>
    </w:p>
    <w:p w14:paraId="2A4C8EED" w14:textId="77777777" w:rsidR="006C1831" w:rsidRPr="006C1831" w:rsidRDefault="006C1831" w:rsidP="006C1831">
      <w:r w:rsidRPr="006C1831">
        <w:t>UK chemotherapy board recommendations: https://www.theacp.org.uk/news/3-aug-2020-personalised-medicine-approach-for-fluoropyrimidine-based-therapi</w:t>
      </w:r>
    </w:p>
    <w:p w14:paraId="531B170B" w14:textId="040BF3A9" w:rsidR="006C1831" w:rsidRPr="006C1831" w:rsidRDefault="006C1831" w:rsidP="006C1831">
      <w:proofErr w:type="spellStart"/>
      <w:r w:rsidRPr="006C1831">
        <w:t>EviQ</w:t>
      </w:r>
      <w:proofErr w:type="spellEnd"/>
      <w:r w:rsidRPr="006C1831">
        <w:t xml:space="preserve"> guidelines: https://www.eviq.org.au/clinical-resources/side-effect-and-toxicity-management/prophylaxis-and-treatment/1744-dihydropyrimidine-dehydrogenase-dpd-enzyme#assessment</w:t>
      </w:r>
    </w:p>
    <w:p w14:paraId="1F8CCCDE" w14:textId="77777777" w:rsidR="006C1831" w:rsidRPr="006C1831" w:rsidRDefault="006C1831" w:rsidP="006C1831">
      <w:pPr>
        <w:rPr>
          <w:lang w:val="x-none"/>
        </w:rPr>
      </w:pPr>
    </w:p>
    <w:p w14:paraId="779C2953" w14:textId="77777777" w:rsidR="006C1831" w:rsidRPr="006C1831" w:rsidRDefault="006C1831" w:rsidP="006C1831">
      <w:pPr>
        <w:rPr>
          <w:lang w:val="x-none"/>
        </w:rPr>
      </w:pPr>
      <w:r w:rsidRPr="006C1831">
        <w:rPr>
          <w:lang w:val="x-none"/>
        </w:rPr>
        <w:t xml:space="preserve">End of report </w:t>
      </w:r>
    </w:p>
    <w:p w14:paraId="3CEA5CB3" w14:textId="77777777" w:rsidR="006C1831" w:rsidRPr="006C1831" w:rsidRDefault="006C1831" w:rsidP="006C1831">
      <w:pPr>
        <w:rPr>
          <w:lang w:val="x-none"/>
        </w:rPr>
      </w:pPr>
      <w:r w:rsidRPr="006C1831">
        <w:rPr>
          <w:lang w:val="x-none"/>
        </w:rPr>
        <w:t xml:space="preserve"> </w:t>
      </w:r>
    </w:p>
    <w:p w14:paraId="05F30923" w14:textId="0191242D" w:rsidR="00C70098" w:rsidRDefault="00C70098">
      <w:pPr>
        <w:rPr>
          <w:lang w:val="x-none"/>
        </w:rPr>
      </w:pPr>
      <w:r>
        <w:rPr>
          <w:lang w:val="x-none"/>
        </w:rPr>
        <w:br w:type="page"/>
      </w:r>
    </w:p>
    <w:p w14:paraId="7349562D" w14:textId="2CFF93D7" w:rsidR="00C70098" w:rsidRPr="00E44F7E" w:rsidRDefault="0037470A" w:rsidP="00C70098">
      <w:pPr>
        <w:rPr>
          <w:b/>
          <w:bCs/>
          <w:lang w:val="x-none"/>
        </w:rPr>
      </w:pPr>
      <w:r>
        <w:rPr>
          <w:b/>
          <w:bCs/>
          <w:highlight w:val="green"/>
          <w:lang w:val="x-none"/>
        </w:rPr>
        <w:lastRenderedPageBreak/>
        <w:t>Patient C</w:t>
      </w:r>
      <w:r w:rsidR="00E44F7E">
        <w:rPr>
          <w:b/>
          <w:bCs/>
          <w:highlight w:val="green"/>
          <w:lang w:val="x-none"/>
        </w:rPr>
        <w:t xml:space="preserve"> Het</w:t>
      </w:r>
      <w:r w:rsidR="00C70098" w:rsidRPr="00E44F7E">
        <w:rPr>
          <w:b/>
          <w:bCs/>
          <w:highlight w:val="green"/>
          <w:lang w:val="x-none"/>
        </w:rPr>
        <w:t xml:space="preserve"> </w:t>
      </w:r>
      <w:r w:rsidR="00C70098" w:rsidRPr="00C70098">
        <w:rPr>
          <w:b/>
          <w:bCs/>
          <w:highlight w:val="green"/>
          <w:lang w:val="x-none"/>
        </w:rPr>
        <w:t>c.2846A&gt;T</w:t>
      </w:r>
      <w:r w:rsidR="00C70098" w:rsidRPr="00C70098">
        <w:rPr>
          <w:b/>
          <w:bCs/>
          <w:highlight w:val="green"/>
        </w:rPr>
        <w:t xml:space="preserve"> allele </w:t>
      </w:r>
      <w:r w:rsidR="00C70098" w:rsidRPr="00E44F7E">
        <w:rPr>
          <w:b/>
          <w:bCs/>
          <w:highlight w:val="green"/>
        </w:rPr>
        <w:t>positive</w:t>
      </w:r>
    </w:p>
    <w:p w14:paraId="5429527B" w14:textId="77777777" w:rsidR="00C70098" w:rsidRPr="00C70098" w:rsidRDefault="00C70098" w:rsidP="00C70098">
      <w:pPr>
        <w:rPr>
          <w:lang w:val="x-none"/>
        </w:rPr>
      </w:pPr>
      <w:r w:rsidRPr="00C70098">
        <w:rPr>
          <w:b/>
          <w:bCs/>
          <w:lang w:val="x-none"/>
        </w:rPr>
        <w:t>DPYD Common Variant Screen</w:t>
      </w:r>
    </w:p>
    <w:p w14:paraId="504E2B66" w14:textId="77777777" w:rsidR="00C70098" w:rsidRPr="00C70098" w:rsidRDefault="00C70098" w:rsidP="00C70098">
      <w:pPr>
        <w:rPr>
          <w:lang w:val="x-none"/>
        </w:rPr>
      </w:pPr>
    </w:p>
    <w:p w14:paraId="61E3C56A" w14:textId="77777777" w:rsidR="00C70098" w:rsidRPr="00C70098" w:rsidRDefault="00C70098" w:rsidP="00C70098">
      <w:pPr>
        <w:rPr>
          <w:lang w:val="x-none"/>
        </w:rPr>
      </w:pPr>
      <w:r w:rsidRPr="00C70098">
        <w:rPr>
          <w:b/>
          <w:bCs/>
          <w:lang w:val="x-none"/>
        </w:rPr>
        <w:t>Test requested:</w:t>
      </w:r>
      <w:r w:rsidRPr="00C70098">
        <w:rPr>
          <w:lang w:val="x-none"/>
        </w:rPr>
        <w:t xml:space="preserve"> DPYD Common Variant Screen</w:t>
      </w:r>
    </w:p>
    <w:p w14:paraId="7A1959C8" w14:textId="31A13B91" w:rsidR="00C70098" w:rsidRPr="00C70098" w:rsidRDefault="00C70098" w:rsidP="00C70098">
      <w:pPr>
        <w:rPr>
          <w:b/>
          <w:bCs/>
          <w:lang w:val="x-none"/>
        </w:rPr>
      </w:pPr>
      <w:r w:rsidRPr="00C70098">
        <w:rPr>
          <w:b/>
          <w:bCs/>
          <w:lang w:val="x-none"/>
        </w:rPr>
        <w:t xml:space="preserve">Specimen Type: </w:t>
      </w:r>
      <w:r w:rsidRPr="00C70098">
        <w:rPr>
          <w:lang w:val="x-none"/>
        </w:rPr>
        <w:t>Blood</w:t>
      </w:r>
    </w:p>
    <w:p w14:paraId="39964B89" w14:textId="117709F6" w:rsidR="00C70098" w:rsidRPr="00C70098" w:rsidRDefault="00C70098" w:rsidP="00C70098">
      <w:pPr>
        <w:rPr>
          <w:b/>
          <w:bCs/>
          <w:lang w:val="x-none"/>
        </w:rPr>
      </w:pPr>
      <w:r w:rsidRPr="00C70098">
        <w:rPr>
          <w:b/>
          <w:bCs/>
          <w:lang w:val="x-none"/>
        </w:rPr>
        <w:t>Accession Number:</w:t>
      </w:r>
      <w:r w:rsidRPr="00C70098">
        <w:rPr>
          <w:lang w:val="x-none"/>
        </w:rPr>
        <w:t xml:space="preserve"> </w:t>
      </w:r>
    </w:p>
    <w:p w14:paraId="55DCA69A" w14:textId="77777777" w:rsidR="00C70098" w:rsidRPr="00C70098" w:rsidRDefault="00C70098" w:rsidP="00C70098">
      <w:pPr>
        <w:rPr>
          <w:b/>
          <w:bCs/>
          <w:lang w:val="x-none"/>
        </w:rPr>
      </w:pPr>
    </w:p>
    <w:p w14:paraId="0CF04800" w14:textId="77777777" w:rsidR="00C70098" w:rsidRPr="00C70098" w:rsidRDefault="00C70098" w:rsidP="00C70098">
      <w:pPr>
        <w:rPr>
          <w:b/>
          <w:bCs/>
          <w:lang w:val="x-none"/>
        </w:rPr>
      </w:pPr>
    </w:p>
    <w:p w14:paraId="7906EA9C" w14:textId="77777777" w:rsidR="00C70098" w:rsidRPr="00C70098" w:rsidRDefault="00C70098" w:rsidP="00C70098">
      <w:pPr>
        <w:rPr>
          <w:lang w:val="x-none"/>
        </w:rPr>
      </w:pPr>
      <w:r w:rsidRPr="00C70098">
        <w:rPr>
          <w:b/>
          <w:bCs/>
          <w:lang w:val="x-none"/>
        </w:rPr>
        <w:t>Clinical Indication:</w:t>
      </w:r>
      <w:r w:rsidRPr="00C70098">
        <w:rPr>
          <w:lang w:val="x-none"/>
        </w:rPr>
        <w:t xml:space="preserve"> </w:t>
      </w:r>
    </w:p>
    <w:p w14:paraId="19634EDF" w14:textId="77777777" w:rsidR="00C70098" w:rsidRPr="00C70098" w:rsidRDefault="00C70098" w:rsidP="00C70098">
      <w:pPr>
        <w:rPr>
          <w:lang w:val="x-none"/>
        </w:rPr>
      </w:pPr>
      <w:r w:rsidRPr="00C70098">
        <w:rPr>
          <w:lang w:val="x-none"/>
        </w:rPr>
        <w:t>DPYD genotyping</w:t>
      </w:r>
    </w:p>
    <w:p w14:paraId="11D57F94" w14:textId="77777777" w:rsidR="00C70098" w:rsidRPr="00C70098" w:rsidRDefault="00C70098" w:rsidP="00C70098">
      <w:pPr>
        <w:rPr>
          <w:lang w:val="x-none"/>
        </w:rPr>
      </w:pPr>
    </w:p>
    <w:p w14:paraId="468C1DF1" w14:textId="77777777" w:rsidR="00C70098" w:rsidRPr="00C70098" w:rsidRDefault="00C70098" w:rsidP="00C70098">
      <w:pPr>
        <w:rPr>
          <w:b/>
          <w:bCs/>
          <w:lang w:val="x-none"/>
        </w:rPr>
      </w:pPr>
      <w:r w:rsidRPr="00C70098">
        <w:rPr>
          <w:b/>
          <w:bCs/>
          <w:lang w:val="x-none"/>
        </w:rPr>
        <w:t>Summary:</w:t>
      </w:r>
    </w:p>
    <w:p w14:paraId="086583D7" w14:textId="77777777" w:rsidR="00C70098" w:rsidRPr="00C70098" w:rsidRDefault="00C70098" w:rsidP="00C70098">
      <w:pPr>
        <w:rPr>
          <w:lang w:val="x-none"/>
        </w:rPr>
      </w:pPr>
      <w:r w:rsidRPr="00C70098">
        <w:rPr>
          <w:lang w:val="x-none"/>
        </w:rPr>
        <w:t>The DPYD c.2846A&gt;T</w:t>
      </w:r>
      <w:r w:rsidRPr="00C70098">
        <w:t xml:space="preserve"> allele was DETECTED in the DPYD gene in this specimen.</w:t>
      </w:r>
    </w:p>
    <w:p w14:paraId="397F880D" w14:textId="77777777" w:rsidR="00C70098" w:rsidRPr="00C70098" w:rsidRDefault="00C70098" w:rsidP="00C70098">
      <w:pPr>
        <w:rPr>
          <w:b/>
          <w:bCs/>
          <w:lang w:val="x-none"/>
        </w:rPr>
      </w:pPr>
      <w:r w:rsidRPr="00C70098">
        <w:rPr>
          <w:b/>
          <w:bCs/>
          <w:lang w:val="x-none"/>
        </w:rPr>
        <w:t>_______________________________________________________________________________</w:t>
      </w:r>
    </w:p>
    <w:p w14:paraId="6C93365C" w14:textId="77777777" w:rsidR="00C70098" w:rsidRPr="00C70098" w:rsidRDefault="00C70098" w:rsidP="00C70098">
      <w:pPr>
        <w:rPr>
          <w:b/>
          <w:bCs/>
          <w:lang w:val="x-none"/>
        </w:rPr>
      </w:pPr>
    </w:p>
    <w:p w14:paraId="669946E1" w14:textId="2EFEE3EE" w:rsidR="00C70098" w:rsidRPr="00C70098" w:rsidRDefault="00C70098" w:rsidP="00C70098">
      <w:pPr>
        <w:rPr>
          <w:b/>
          <w:bCs/>
          <w:lang w:val="x-none"/>
        </w:rPr>
      </w:pPr>
      <w:r w:rsidRPr="00C70098">
        <w:rPr>
          <w:b/>
          <w:bCs/>
          <w:lang w:val="x-none"/>
        </w:rPr>
        <w:t xml:space="preserve">Results:                                               </w:t>
      </w:r>
      <w:r w:rsidR="00E44F7E">
        <w:rPr>
          <w:b/>
          <w:bCs/>
          <w:lang w:val="x-none"/>
        </w:rPr>
        <w:t xml:space="preserve">                                                          </w:t>
      </w:r>
      <w:r w:rsidRPr="00C70098">
        <w:rPr>
          <w:b/>
          <w:bCs/>
          <w:lang w:val="x-none"/>
        </w:rPr>
        <w:t>Zygosity</w:t>
      </w:r>
    </w:p>
    <w:p w14:paraId="21410F77" w14:textId="77777777" w:rsidR="00C70098" w:rsidRPr="00C70098" w:rsidRDefault="00C70098" w:rsidP="00C70098">
      <w:pPr>
        <w:rPr>
          <w:rFonts w:ascii="Courier New" w:hAnsi="Courier New" w:cs="Courier New"/>
        </w:rPr>
      </w:pPr>
      <w:r w:rsidRPr="00C70098">
        <w:rPr>
          <w:rFonts w:ascii="Courier New" w:hAnsi="Courier New" w:cs="Courier New"/>
        </w:rPr>
        <w:t>DPYD*2A (c.1905+1G&gt;A):               Not Detected</w:t>
      </w:r>
    </w:p>
    <w:p w14:paraId="57FB0705" w14:textId="77777777" w:rsidR="00C70098" w:rsidRPr="00C70098" w:rsidRDefault="00C70098" w:rsidP="00C70098">
      <w:pPr>
        <w:rPr>
          <w:rFonts w:ascii="Courier New" w:hAnsi="Courier New" w:cs="Courier New"/>
        </w:rPr>
      </w:pPr>
      <w:r w:rsidRPr="00C70098">
        <w:rPr>
          <w:rFonts w:ascii="Courier New" w:hAnsi="Courier New" w:cs="Courier New"/>
        </w:rPr>
        <w:t>DPYD c.2846A&gt;T:                      Detected          Heterozygous</w:t>
      </w:r>
    </w:p>
    <w:p w14:paraId="54492CE6" w14:textId="77777777" w:rsidR="00C70098" w:rsidRPr="00C70098" w:rsidRDefault="00C70098" w:rsidP="00C70098">
      <w:pPr>
        <w:rPr>
          <w:rFonts w:ascii="Courier New" w:hAnsi="Courier New" w:cs="Courier New"/>
        </w:rPr>
      </w:pPr>
      <w:r w:rsidRPr="00C70098">
        <w:rPr>
          <w:rFonts w:ascii="Courier New" w:hAnsi="Courier New" w:cs="Courier New"/>
        </w:rPr>
        <w:t>DPYD*13 (c.1679T&gt;G p.I560S):         Not Detected</w:t>
      </w:r>
    </w:p>
    <w:p w14:paraId="164C447B" w14:textId="77777777" w:rsidR="00C70098" w:rsidRPr="00C70098" w:rsidRDefault="00C70098" w:rsidP="00C70098">
      <w:pPr>
        <w:rPr>
          <w:rFonts w:ascii="Courier New" w:hAnsi="Courier New" w:cs="Courier New"/>
        </w:rPr>
      </w:pPr>
      <w:r w:rsidRPr="00C70098">
        <w:rPr>
          <w:rFonts w:ascii="Courier New" w:hAnsi="Courier New" w:cs="Courier New"/>
        </w:rPr>
        <w:t>DPYD HapB3 (c.1236G&gt;A):              Not Detected</w:t>
      </w:r>
    </w:p>
    <w:p w14:paraId="06EBDCC2" w14:textId="77777777" w:rsidR="00C70098" w:rsidRPr="00C70098" w:rsidRDefault="00C70098" w:rsidP="00C70098">
      <w:pPr>
        <w:rPr>
          <w:b/>
          <w:bCs/>
          <w:lang w:val="x-none"/>
        </w:rPr>
      </w:pPr>
      <w:r w:rsidRPr="00C70098">
        <w:rPr>
          <w:b/>
          <w:bCs/>
          <w:lang w:val="x-none"/>
        </w:rPr>
        <w:t>_______________________________________________________________________________</w:t>
      </w:r>
    </w:p>
    <w:p w14:paraId="2180A930" w14:textId="77777777" w:rsidR="00C70098" w:rsidRPr="00C70098" w:rsidRDefault="00C70098" w:rsidP="00C70098">
      <w:pPr>
        <w:rPr>
          <w:b/>
          <w:bCs/>
          <w:lang w:val="x-none"/>
        </w:rPr>
      </w:pPr>
    </w:p>
    <w:p w14:paraId="5FE75E71" w14:textId="77777777" w:rsidR="00C70098" w:rsidRPr="00C70098" w:rsidRDefault="00C70098" w:rsidP="00C70098">
      <w:pPr>
        <w:rPr>
          <w:b/>
          <w:bCs/>
          <w:lang w:val="x-none"/>
        </w:rPr>
      </w:pPr>
      <w:r w:rsidRPr="00C70098">
        <w:rPr>
          <w:b/>
          <w:bCs/>
        </w:rPr>
        <w:t>I</w:t>
      </w:r>
      <w:proofErr w:type="spellStart"/>
      <w:r w:rsidRPr="00C70098">
        <w:rPr>
          <w:b/>
          <w:bCs/>
          <w:lang w:val="x-none"/>
        </w:rPr>
        <w:t>nterpretation</w:t>
      </w:r>
      <w:proofErr w:type="spellEnd"/>
      <w:r w:rsidRPr="00C70098">
        <w:rPr>
          <w:b/>
          <w:bCs/>
          <w:lang w:val="x-none"/>
        </w:rPr>
        <w:t>:</w:t>
      </w:r>
    </w:p>
    <w:p w14:paraId="4A1F043E" w14:textId="77777777" w:rsidR="00C70098" w:rsidRPr="00C70098" w:rsidRDefault="00C70098" w:rsidP="00C70098">
      <w:r w:rsidRPr="00C70098">
        <w:t xml:space="preserve">A recent prospective study (PMID: 30348537) provides evidence to support a recommendation for a 50% dose reduction in heterozygous carriers of the decreased function variants c.1905+1G&gt;A (rs3918290), c.2846A&gt;T (rs67376798), c.1679T&gt;G p.I560S (rs55886062) or c.1129–5923C&gt;G (rs75017182; HapB3 or its tagging SNP c.1236G&gt;A; rs56038477). These data suggest that all Intermediate </w:t>
      </w:r>
      <w:proofErr w:type="spellStart"/>
      <w:r w:rsidRPr="00C70098">
        <w:t>Metabolizers</w:t>
      </w:r>
      <w:proofErr w:type="spellEnd"/>
      <w:r w:rsidRPr="00C70098">
        <w:t xml:space="preserve"> with an activity score of 1.5 should receive a 50% dose reduction. </w:t>
      </w:r>
      <w:proofErr w:type="gramStart"/>
      <w:r w:rsidRPr="00C70098">
        <w:t>Therefore</w:t>
      </w:r>
      <w:proofErr w:type="gramEnd"/>
      <w:r w:rsidRPr="00C70098">
        <w:t xml:space="preserve"> CPIC revises its recommendation such that all DPYD Intermediate </w:t>
      </w:r>
      <w:proofErr w:type="spellStart"/>
      <w:r w:rsidRPr="00C70098">
        <w:t>Metabolizers</w:t>
      </w:r>
      <w:proofErr w:type="spellEnd"/>
      <w:r w:rsidRPr="00C70098">
        <w:t xml:space="preserve"> should receive a 50% dose reduction from the full standard starting dose, whether the activity score is 1 or 1.5 followed by dose titration, based on clinical judgement and ideally therapeutic drug monitoring.</w:t>
      </w:r>
    </w:p>
    <w:p w14:paraId="22F2ADA5" w14:textId="77777777" w:rsidR="00C70098" w:rsidRPr="00C70098" w:rsidRDefault="00C70098" w:rsidP="00C70098">
      <w:pPr>
        <w:rPr>
          <w:lang w:val="x-none"/>
        </w:rPr>
      </w:pPr>
    </w:p>
    <w:p w14:paraId="52FC54BA" w14:textId="77777777" w:rsidR="00C70098" w:rsidRPr="00C70098" w:rsidRDefault="00C70098" w:rsidP="00C70098">
      <w:pPr>
        <w:rPr>
          <w:lang w:val="x-none"/>
        </w:rPr>
      </w:pPr>
      <w:r w:rsidRPr="00C70098">
        <w:rPr>
          <w:b/>
          <w:bCs/>
          <w:lang w:val="x-none"/>
        </w:rPr>
        <w:t>Background:</w:t>
      </w:r>
    </w:p>
    <w:p w14:paraId="354B4FD8" w14:textId="77777777" w:rsidR="00C70098" w:rsidRPr="00C70098" w:rsidRDefault="00C70098" w:rsidP="00C70098">
      <w:pPr>
        <w:rPr>
          <w:lang w:val="x-none"/>
        </w:rPr>
      </w:pPr>
      <w:r w:rsidRPr="00C70098">
        <w:rPr>
          <w:lang w:val="x-none"/>
        </w:rPr>
        <w:t xml:space="preserve">Fluoropyrimidine drugs (such as 5-fluorouracil and capecitabine) are used to treat different types of cancer. However, these drugs may cause severe toxicity in about 10% to 40% of patients. A deficiency in the </w:t>
      </w:r>
      <w:proofErr w:type="spellStart"/>
      <w:r w:rsidRPr="00C70098">
        <w:rPr>
          <w:lang w:val="x-none"/>
        </w:rPr>
        <w:t>dihydropyrimidine</w:t>
      </w:r>
      <w:proofErr w:type="spellEnd"/>
      <w:r w:rsidRPr="00C70098">
        <w:rPr>
          <w:lang w:val="x-none"/>
        </w:rPr>
        <w:t xml:space="preserve"> dehydrogenase (DPD) enzyme, encoded by the DPYD gene, increases the risk of severe toxicity. DPYD genotyping aims to identify variants that lead to DPD deficiency and may help to identify people who are at higher risk of developing severe toxicity, allowing their treatment to be modified before it begins.</w:t>
      </w:r>
    </w:p>
    <w:p w14:paraId="2542D701" w14:textId="77777777" w:rsidR="00C70098" w:rsidRPr="00C70098" w:rsidRDefault="00C70098" w:rsidP="00C70098">
      <w:pPr>
        <w:rPr>
          <w:lang w:val="x-none"/>
        </w:rPr>
      </w:pPr>
    </w:p>
    <w:p w14:paraId="103F0A6C" w14:textId="77777777" w:rsidR="00C70098" w:rsidRPr="00C70098" w:rsidRDefault="00C70098" w:rsidP="00C70098">
      <w:pPr>
        <w:rPr>
          <w:lang w:val="x-none"/>
        </w:rPr>
      </w:pPr>
      <w:r w:rsidRPr="00C70098">
        <w:rPr>
          <w:b/>
          <w:bCs/>
          <w:lang w:val="x-none"/>
        </w:rPr>
        <w:t>Method:</w:t>
      </w:r>
    </w:p>
    <w:p w14:paraId="5D7F8888" w14:textId="77777777" w:rsidR="00C70098" w:rsidRPr="00C70098" w:rsidRDefault="00C70098" w:rsidP="00C70098">
      <w:pPr>
        <w:rPr>
          <w:i/>
          <w:iCs/>
          <w:lang w:val="x-none"/>
        </w:rPr>
      </w:pPr>
      <w:r w:rsidRPr="00C70098">
        <w:rPr>
          <w:i/>
          <w:iCs/>
          <w:lang w:val="x-none"/>
        </w:rPr>
        <w:t>Platform:</w:t>
      </w:r>
    </w:p>
    <w:p w14:paraId="00A5A533" w14:textId="77777777" w:rsidR="00C70098" w:rsidRPr="00C70098" w:rsidRDefault="00C70098" w:rsidP="00C70098">
      <w:pPr>
        <w:rPr>
          <w:lang w:val="x-none"/>
        </w:rPr>
      </w:pPr>
      <w:r w:rsidRPr="00C70098">
        <w:rPr>
          <w:lang w:val="x-none"/>
        </w:rPr>
        <w:t xml:space="preserve">DNA isolated from peripheral blood leukocytes was analysed using a custom-designed </w:t>
      </w:r>
      <w:proofErr w:type="spellStart"/>
      <w:r w:rsidRPr="00C70098">
        <w:rPr>
          <w:lang w:val="x-none"/>
        </w:rPr>
        <w:t>rhAmpSeq</w:t>
      </w:r>
      <w:proofErr w:type="spellEnd"/>
      <w:r w:rsidRPr="00C70098">
        <w:rPr>
          <w:lang w:val="x-none"/>
        </w:rPr>
        <w:t xml:space="preserve"> amplicon panel manufactured by Integrated DNA Technologies and sequenced using the Illumina </w:t>
      </w:r>
      <w:proofErr w:type="spellStart"/>
      <w:r w:rsidRPr="00C70098">
        <w:rPr>
          <w:lang w:val="x-none"/>
        </w:rPr>
        <w:t>MiSeq</w:t>
      </w:r>
      <w:proofErr w:type="spellEnd"/>
      <w:r w:rsidRPr="00C70098">
        <w:rPr>
          <w:lang w:val="x-none"/>
        </w:rPr>
        <w:t xml:space="preserve"> Sequencing System. This assay achieves &gt;98% of bases with depth of coverage &gt;250x. </w:t>
      </w:r>
    </w:p>
    <w:p w14:paraId="6DBF3632" w14:textId="77777777" w:rsidR="00C70098" w:rsidRPr="00C70098" w:rsidRDefault="00C70098" w:rsidP="00C70098">
      <w:pPr>
        <w:rPr>
          <w:i/>
          <w:iCs/>
          <w:lang w:val="x-none"/>
        </w:rPr>
      </w:pPr>
      <w:r w:rsidRPr="00C70098">
        <w:rPr>
          <w:i/>
          <w:iCs/>
          <w:lang w:val="x-none"/>
        </w:rPr>
        <w:t>Bioinformatics:</w:t>
      </w:r>
    </w:p>
    <w:p w14:paraId="5B8EFD7F" w14:textId="77777777" w:rsidR="00C70098" w:rsidRPr="00C70098" w:rsidRDefault="00C70098" w:rsidP="00C70098">
      <w:pPr>
        <w:rPr>
          <w:lang w:val="x-none"/>
        </w:rPr>
      </w:pPr>
      <w:r w:rsidRPr="00C70098">
        <w:rPr>
          <w:lang w:val="x-none"/>
        </w:rPr>
        <w:t xml:space="preserve">Sequences were aligned to the human reference genome (GRCh38) using Burrows-Wheeler Aligner. Variant calling was performed using </w:t>
      </w:r>
      <w:proofErr w:type="spellStart"/>
      <w:r w:rsidRPr="00C70098">
        <w:rPr>
          <w:lang w:val="x-none"/>
        </w:rPr>
        <w:t>VarDict</w:t>
      </w:r>
      <w:proofErr w:type="spellEnd"/>
      <w:r w:rsidRPr="00C70098">
        <w:rPr>
          <w:lang w:val="x-none"/>
        </w:rPr>
        <w:t>. This method detects single nucleotide variants and small insertion/deletion variants within targeted regions. The assay sensitivity is specific for each individual variant and is dependent on DNA quality and quantity; however, at the target read depth the lower limit of detection of the assay is estimated to be around 5% mutant DNA in a background of 'wild-type' DNA (i.e. variant allele frequency, VAF).</w:t>
      </w:r>
    </w:p>
    <w:p w14:paraId="179FD4B8" w14:textId="77777777" w:rsidR="00C70098" w:rsidRPr="00C70098" w:rsidRDefault="00C70098" w:rsidP="00C70098">
      <w:pPr>
        <w:rPr>
          <w:lang w:val="x-none"/>
        </w:rPr>
      </w:pPr>
      <w:r w:rsidRPr="00C70098">
        <w:rPr>
          <w:i/>
          <w:iCs/>
          <w:lang w:val="x-none"/>
        </w:rPr>
        <w:t>Variant classification:</w:t>
      </w:r>
    </w:p>
    <w:p w14:paraId="69B059AD" w14:textId="77777777" w:rsidR="00C70098" w:rsidRPr="00C70098" w:rsidRDefault="00C70098" w:rsidP="00C70098">
      <w:pPr>
        <w:rPr>
          <w:lang w:val="x-none"/>
        </w:rPr>
      </w:pPr>
      <w:r w:rsidRPr="00C70098">
        <w:rPr>
          <w:lang w:val="x-none"/>
        </w:rPr>
        <w:t xml:space="preserve">Variant annotation was performed using </w:t>
      </w:r>
      <w:proofErr w:type="spellStart"/>
      <w:r w:rsidRPr="00C70098">
        <w:rPr>
          <w:lang w:val="x-none"/>
        </w:rPr>
        <w:t>VariantGrid</w:t>
      </w:r>
      <w:proofErr w:type="spellEnd"/>
      <w:r w:rsidRPr="00C70098">
        <w:rPr>
          <w:lang w:val="x-none"/>
        </w:rPr>
        <w:t xml:space="preserve"> v3. Variants are described according to HGVS nomenclature. Variants are visually inspected in IGV.</w:t>
      </w:r>
    </w:p>
    <w:p w14:paraId="2D6D42F3" w14:textId="77777777" w:rsidR="00C70098" w:rsidRPr="00C70098" w:rsidRDefault="00C70098" w:rsidP="00C70098">
      <w:pPr>
        <w:rPr>
          <w:i/>
          <w:iCs/>
          <w:lang w:val="x-none"/>
        </w:rPr>
      </w:pPr>
      <w:r w:rsidRPr="00C70098">
        <w:rPr>
          <w:i/>
          <w:iCs/>
          <w:lang w:val="x-none"/>
        </w:rPr>
        <w:t>Limitations:</w:t>
      </w:r>
    </w:p>
    <w:p w14:paraId="53AE3CD7" w14:textId="77777777" w:rsidR="00C70098" w:rsidRPr="00C70098" w:rsidRDefault="00C70098" w:rsidP="00C70098">
      <w:pPr>
        <w:rPr>
          <w:lang w:val="x-none"/>
        </w:rPr>
      </w:pPr>
      <w:r w:rsidRPr="00C70098">
        <w:rPr>
          <w:lang w:val="x-none"/>
        </w:rPr>
        <w:t xml:space="preserve">The lack of detection of a variant does not exclude the possibility of the presence of clinically relevant genetic variant in patients, for reasons such as to allelic drop-out due to private SNPs or other assay limitations. This method is unable to detect large deletions (including whole exon / whole gene deletions), large insertions, large duplications, structural rearrangements, deep intronic variants and variants in unscreened regions. This assay does NOT test for the c.557A&gt;G p.(Y186C) variant that is commonly observed in individuals of African ancestry. For the HapB3 genotype  “decreased function” is inferred by detecting the </w:t>
      </w:r>
      <w:proofErr w:type="spellStart"/>
      <w:r w:rsidRPr="00C70098">
        <w:rPr>
          <w:lang w:val="x-none"/>
        </w:rPr>
        <w:t>exonic</w:t>
      </w:r>
      <w:proofErr w:type="spellEnd"/>
      <w:r w:rsidRPr="00C70098">
        <w:rPr>
          <w:lang w:val="x-none"/>
        </w:rPr>
        <w:t xml:space="preserve"> tag SNP (c.1236G&gt;A). Recent studies indicate that in rare cases, the causal decreased function variant c.1129-5923C&gt;G may not be present despite having this tag SNP (PMID:  38129972). Although not documented in the literature to date it is possible that the HapB3 c.1129-5923C&gt;G variant may also be present without detection of the c.1236G&gt;A tagging SNP.</w:t>
      </w:r>
    </w:p>
    <w:p w14:paraId="5E60F8C4" w14:textId="77777777" w:rsidR="00C70098" w:rsidRPr="00C70098" w:rsidRDefault="00C70098" w:rsidP="00C70098">
      <w:pPr>
        <w:rPr>
          <w:lang w:val="x-none"/>
        </w:rPr>
      </w:pPr>
    </w:p>
    <w:p w14:paraId="49347049" w14:textId="77777777" w:rsidR="00C70098" w:rsidRPr="00C70098" w:rsidRDefault="00C70098" w:rsidP="00C70098">
      <w:pPr>
        <w:rPr>
          <w:b/>
          <w:bCs/>
          <w:lang w:val="x-none"/>
        </w:rPr>
      </w:pPr>
      <w:r w:rsidRPr="00C70098">
        <w:rPr>
          <w:b/>
          <w:bCs/>
          <w:lang w:val="x-none"/>
        </w:rPr>
        <w:t xml:space="preserve">Genes tested: </w:t>
      </w:r>
    </w:p>
    <w:p w14:paraId="7BC48EBC" w14:textId="77777777" w:rsidR="00C70098" w:rsidRPr="00C70098" w:rsidRDefault="00C70098" w:rsidP="00C70098">
      <w:pPr>
        <w:rPr>
          <w:lang w:val="x-none"/>
        </w:rPr>
      </w:pPr>
      <w:r w:rsidRPr="00C70098">
        <w:rPr>
          <w:lang w:val="x-none"/>
        </w:rPr>
        <w:t>DPYD (NM_000110.4)</w:t>
      </w:r>
    </w:p>
    <w:p w14:paraId="3EA4C9EB" w14:textId="77777777" w:rsidR="00C70098" w:rsidRPr="00C70098" w:rsidRDefault="00C70098" w:rsidP="00C70098">
      <w:pPr>
        <w:rPr>
          <w:lang w:val="x-none"/>
        </w:rPr>
      </w:pPr>
    </w:p>
    <w:p w14:paraId="52E30D85" w14:textId="77777777" w:rsidR="00C70098" w:rsidRPr="00C70098" w:rsidRDefault="00C70098" w:rsidP="00C70098">
      <w:pPr>
        <w:rPr>
          <w:b/>
          <w:bCs/>
        </w:rPr>
      </w:pPr>
      <w:r w:rsidRPr="00C70098">
        <w:rPr>
          <w:b/>
          <w:bCs/>
        </w:rPr>
        <w:t>References:</w:t>
      </w:r>
    </w:p>
    <w:p w14:paraId="6B8A764A" w14:textId="77777777" w:rsidR="00C70098" w:rsidRPr="00C70098" w:rsidRDefault="00C70098" w:rsidP="00C70098">
      <w:proofErr w:type="spellStart"/>
      <w:r w:rsidRPr="00C70098">
        <w:t>Ont</w:t>
      </w:r>
      <w:proofErr w:type="spellEnd"/>
      <w:r w:rsidRPr="00C70098">
        <w:t xml:space="preserve"> Health Technol Assess Ser. 2021 Aug 12;21(14):1-186.</w:t>
      </w:r>
    </w:p>
    <w:p w14:paraId="39E8DFF5" w14:textId="77777777" w:rsidR="00C70098" w:rsidRPr="00C70098" w:rsidRDefault="00C70098" w:rsidP="00C70098">
      <w:r w:rsidRPr="00C70098">
        <w:t>https://www.pharmgkb.org/gene/PA145</w:t>
      </w:r>
    </w:p>
    <w:p w14:paraId="35E48336" w14:textId="77777777" w:rsidR="00C70098" w:rsidRPr="00C70098" w:rsidRDefault="00C70098" w:rsidP="00C70098">
      <w:r w:rsidRPr="00C70098">
        <w:t>https://cpicpgx.org/guidelines/guideline-for-fluoropyrimidines-and-dpyd/</w:t>
      </w:r>
    </w:p>
    <w:p w14:paraId="3BB80132" w14:textId="77777777" w:rsidR="00C70098" w:rsidRPr="00C70098" w:rsidRDefault="00C70098" w:rsidP="00C70098">
      <w:pPr>
        <w:rPr>
          <w:lang w:val="x-none"/>
        </w:rPr>
      </w:pPr>
    </w:p>
    <w:p w14:paraId="1D12B827" w14:textId="77777777" w:rsidR="00C70098" w:rsidRPr="00C70098" w:rsidRDefault="00C70098" w:rsidP="00C70098">
      <w:pPr>
        <w:rPr>
          <w:lang w:val="x-none"/>
        </w:rPr>
      </w:pPr>
    </w:p>
    <w:p w14:paraId="722F739A" w14:textId="2B307A3F" w:rsidR="001203F2" w:rsidRDefault="00C70098" w:rsidP="00C70098">
      <w:pPr>
        <w:rPr>
          <w:lang w:val="x-none"/>
        </w:rPr>
      </w:pPr>
      <w:r w:rsidRPr="00C70098">
        <w:rPr>
          <w:lang w:val="x-none"/>
        </w:rPr>
        <w:t xml:space="preserve">End of report </w:t>
      </w:r>
    </w:p>
    <w:p w14:paraId="7DCE87AB" w14:textId="77777777" w:rsidR="001203F2" w:rsidRDefault="001203F2">
      <w:pPr>
        <w:rPr>
          <w:lang w:val="x-none"/>
        </w:rPr>
      </w:pPr>
      <w:r>
        <w:rPr>
          <w:lang w:val="x-none"/>
        </w:rPr>
        <w:br w:type="page"/>
      </w:r>
    </w:p>
    <w:p w14:paraId="5B768614" w14:textId="0F39FC3E" w:rsidR="001203F2" w:rsidRDefault="0037470A" w:rsidP="001203F2">
      <w:pPr>
        <w:rPr>
          <w:b/>
          <w:bCs/>
          <w:highlight w:val="green"/>
          <w:lang w:val="x-none"/>
        </w:rPr>
      </w:pPr>
      <w:r>
        <w:rPr>
          <w:b/>
          <w:bCs/>
          <w:highlight w:val="green"/>
          <w:lang w:val="x-none"/>
        </w:rPr>
        <w:lastRenderedPageBreak/>
        <w:t>Patient D</w:t>
      </w:r>
      <w:r w:rsidR="001203F2">
        <w:rPr>
          <w:b/>
          <w:bCs/>
          <w:highlight w:val="green"/>
          <w:lang w:val="x-none"/>
        </w:rPr>
        <w:t xml:space="preserve"> N</w:t>
      </w:r>
      <w:r w:rsidR="005F5ADA">
        <w:rPr>
          <w:b/>
          <w:bCs/>
          <w:highlight w:val="green"/>
          <w:lang w:val="x-none"/>
        </w:rPr>
        <w:t xml:space="preserve">o Variant </w:t>
      </w:r>
      <w:r w:rsidR="001203F2">
        <w:rPr>
          <w:b/>
          <w:bCs/>
          <w:highlight w:val="green"/>
          <w:lang w:val="x-none"/>
        </w:rPr>
        <w:t>D</w:t>
      </w:r>
      <w:r w:rsidR="005F5ADA">
        <w:rPr>
          <w:b/>
          <w:bCs/>
          <w:highlight w:val="green"/>
          <w:lang w:val="x-none"/>
        </w:rPr>
        <w:t>etected (NVD)</w:t>
      </w:r>
    </w:p>
    <w:p w14:paraId="29F37137" w14:textId="46A9BBD8" w:rsidR="001203F2" w:rsidRPr="001203F2" w:rsidRDefault="001203F2" w:rsidP="001203F2">
      <w:pPr>
        <w:rPr>
          <w:lang w:val="x-none"/>
        </w:rPr>
      </w:pPr>
      <w:r w:rsidRPr="001203F2">
        <w:rPr>
          <w:b/>
          <w:bCs/>
          <w:lang w:val="x-none"/>
        </w:rPr>
        <w:t>DPYD Common Variant Screen</w:t>
      </w:r>
    </w:p>
    <w:p w14:paraId="7B4B01D3" w14:textId="77777777" w:rsidR="001203F2" w:rsidRPr="001203F2" w:rsidRDefault="001203F2" w:rsidP="001203F2">
      <w:pPr>
        <w:rPr>
          <w:lang w:val="x-none"/>
        </w:rPr>
      </w:pPr>
    </w:p>
    <w:p w14:paraId="0791FA5C" w14:textId="77777777" w:rsidR="001203F2" w:rsidRPr="001203F2" w:rsidRDefault="001203F2" w:rsidP="001203F2">
      <w:pPr>
        <w:rPr>
          <w:lang w:val="x-none"/>
        </w:rPr>
      </w:pPr>
      <w:r w:rsidRPr="001203F2">
        <w:rPr>
          <w:b/>
          <w:bCs/>
          <w:lang w:val="x-none"/>
        </w:rPr>
        <w:t>Test requested:</w:t>
      </w:r>
      <w:r w:rsidRPr="001203F2">
        <w:rPr>
          <w:lang w:val="x-none"/>
        </w:rPr>
        <w:t xml:space="preserve"> DPYD Common Variant Screen</w:t>
      </w:r>
    </w:p>
    <w:p w14:paraId="063E54E5" w14:textId="020602F2" w:rsidR="001203F2" w:rsidRPr="001203F2" w:rsidRDefault="001203F2" w:rsidP="001203F2">
      <w:pPr>
        <w:rPr>
          <w:b/>
          <w:bCs/>
          <w:lang w:val="x-none"/>
        </w:rPr>
      </w:pPr>
      <w:r w:rsidRPr="001203F2">
        <w:rPr>
          <w:b/>
          <w:bCs/>
          <w:lang w:val="x-none"/>
        </w:rPr>
        <w:t xml:space="preserve">Specimen Type: </w:t>
      </w:r>
      <w:r w:rsidRPr="001203F2">
        <w:rPr>
          <w:lang w:val="x-none"/>
        </w:rPr>
        <w:t>Blood</w:t>
      </w:r>
    </w:p>
    <w:p w14:paraId="204B94E2" w14:textId="3BABBD9B" w:rsidR="001203F2" w:rsidRPr="001203F2" w:rsidRDefault="001203F2" w:rsidP="001203F2">
      <w:pPr>
        <w:rPr>
          <w:b/>
          <w:bCs/>
          <w:lang w:val="x-none"/>
        </w:rPr>
      </w:pPr>
      <w:r w:rsidRPr="001203F2">
        <w:rPr>
          <w:b/>
          <w:bCs/>
          <w:lang w:val="x-none"/>
        </w:rPr>
        <w:t>Accession Number:</w:t>
      </w:r>
      <w:r w:rsidRPr="001203F2">
        <w:rPr>
          <w:lang w:val="x-none"/>
        </w:rPr>
        <w:t xml:space="preserve"> </w:t>
      </w:r>
    </w:p>
    <w:p w14:paraId="0E9B64B7" w14:textId="77777777" w:rsidR="001203F2" w:rsidRPr="001203F2" w:rsidRDefault="001203F2" w:rsidP="001203F2">
      <w:pPr>
        <w:rPr>
          <w:b/>
          <w:bCs/>
          <w:lang w:val="x-none"/>
        </w:rPr>
      </w:pPr>
    </w:p>
    <w:p w14:paraId="7A73864F" w14:textId="77777777" w:rsidR="001203F2" w:rsidRPr="001203F2" w:rsidRDefault="001203F2" w:rsidP="001203F2">
      <w:pPr>
        <w:rPr>
          <w:b/>
          <w:bCs/>
          <w:lang w:val="x-none"/>
        </w:rPr>
      </w:pPr>
    </w:p>
    <w:p w14:paraId="3CF48FFE" w14:textId="77777777" w:rsidR="001203F2" w:rsidRPr="001203F2" w:rsidRDefault="001203F2" w:rsidP="001203F2">
      <w:pPr>
        <w:rPr>
          <w:lang w:val="x-none"/>
        </w:rPr>
      </w:pPr>
      <w:r w:rsidRPr="001203F2">
        <w:rPr>
          <w:b/>
          <w:bCs/>
          <w:lang w:val="x-none"/>
        </w:rPr>
        <w:t>Clinical Indication:</w:t>
      </w:r>
      <w:r w:rsidRPr="001203F2">
        <w:rPr>
          <w:lang w:val="x-none"/>
        </w:rPr>
        <w:t xml:space="preserve"> </w:t>
      </w:r>
    </w:p>
    <w:p w14:paraId="0D44D087" w14:textId="77777777" w:rsidR="001203F2" w:rsidRPr="001203F2" w:rsidRDefault="001203F2" w:rsidP="001203F2">
      <w:pPr>
        <w:rPr>
          <w:lang w:val="x-none"/>
        </w:rPr>
      </w:pPr>
      <w:r w:rsidRPr="001203F2">
        <w:rPr>
          <w:lang w:val="x-none"/>
        </w:rPr>
        <w:t>DPYD genotyping</w:t>
      </w:r>
    </w:p>
    <w:p w14:paraId="240088F0" w14:textId="77777777" w:rsidR="001203F2" w:rsidRPr="001203F2" w:rsidRDefault="001203F2" w:rsidP="001203F2">
      <w:pPr>
        <w:rPr>
          <w:lang w:val="x-none"/>
        </w:rPr>
      </w:pPr>
    </w:p>
    <w:p w14:paraId="43921403" w14:textId="77777777" w:rsidR="001203F2" w:rsidRPr="001203F2" w:rsidRDefault="001203F2" w:rsidP="001203F2">
      <w:pPr>
        <w:rPr>
          <w:b/>
          <w:bCs/>
          <w:lang w:val="x-none"/>
        </w:rPr>
      </w:pPr>
      <w:r w:rsidRPr="001203F2">
        <w:rPr>
          <w:b/>
          <w:bCs/>
          <w:lang w:val="x-none"/>
        </w:rPr>
        <w:t>Summary:</w:t>
      </w:r>
    </w:p>
    <w:p w14:paraId="5616931A" w14:textId="77777777" w:rsidR="001203F2" w:rsidRPr="001203F2" w:rsidRDefault="001203F2" w:rsidP="001203F2">
      <w:pPr>
        <w:rPr>
          <w:lang w:val="x-none"/>
        </w:rPr>
      </w:pPr>
      <w:r w:rsidRPr="001203F2">
        <w:rPr>
          <w:lang w:val="x-none"/>
        </w:rPr>
        <w:t>A variant was NOT DETECTED in the DPYD gene in this specimen.</w:t>
      </w:r>
    </w:p>
    <w:p w14:paraId="3B162862" w14:textId="77777777" w:rsidR="001203F2" w:rsidRPr="001203F2" w:rsidRDefault="001203F2" w:rsidP="001203F2">
      <w:pPr>
        <w:rPr>
          <w:b/>
          <w:bCs/>
          <w:lang w:val="x-none"/>
        </w:rPr>
      </w:pPr>
      <w:r w:rsidRPr="001203F2">
        <w:rPr>
          <w:b/>
          <w:bCs/>
          <w:lang w:val="x-none"/>
        </w:rPr>
        <w:t>_______________________________________________________________________________</w:t>
      </w:r>
    </w:p>
    <w:p w14:paraId="5C180C92" w14:textId="77777777" w:rsidR="001203F2" w:rsidRPr="001203F2" w:rsidRDefault="001203F2" w:rsidP="001203F2">
      <w:pPr>
        <w:rPr>
          <w:b/>
          <w:bCs/>
          <w:lang w:val="x-none"/>
        </w:rPr>
      </w:pPr>
    </w:p>
    <w:p w14:paraId="21A71622" w14:textId="77777777" w:rsidR="001203F2" w:rsidRPr="001203F2" w:rsidRDefault="001203F2" w:rsidP="001203F2">
      <w:pPr>
        <w:rPr>
          <w:b/>
          <w:bCs/>
          <w:lang w:val="x-none"/>
        </w:rPr>
      </w:pPr>
      <w:r w:rsidRPr="001203F2">
        <w:rPr>
          <w:b/>
          <w:bCs/>
          <w:lang w:val="x-none"/>
        </w:rPr>
        <w:t>Results:</w:t>
      </w:r>
    </w:p>
    <w:p w14:paraId="2208C8B5" w14:textId="77777777" w:rsidR="001203F2" w:rsidRPr="001203F2" w:rsidRDefault="001203F2" w:rsidP="001203F2">
      <w:pPr>
        <w:rPr>
          <w:rFonts w:ascii="Courier New" w:hAnsi="Courier New" w:cs="Courier New"/>
        </w:rPr>
      </w:pPr>
      <w:r w:rsidRPr="001203F2">
        <w:rPr>
          <w:rFonts w:ascii="Courier New" w:hAnsi="Courier New" w:cs="Courier New"/>
        </w:rPr>
        <w:t>DPYD*2A (c.1905+1G&gt;A):               Not Detected</w:t>
      </w:r>
    </w:p>
    <w:p w14:paraId="46087DA1" w14:textId="77777777" w:rsidR="001203F2" w:rsidRPr="001203F2" w:rsidRDefault="001203F2" w:rsidP="001203F2">
      <w:pPr>
        <w:rPr>
          <w:rFonts w:ascii="Courier New" w:hAnsi="Courier New" w:cs="Courier New"/>
        </w:rPr>
      </w:pPr>
      <w:r w:rsidRPr="001203F2">
        <w:rPr>
          <w:rFonts w:ascii="Courier New" w:hAnsi="Courier New" w:cs="Courier New"/>
        </w:rPr>
        <w:t>DPYD c.2846A&gt;T:                      Not Detected</w:t>
      </w:r>
    </w:p>
    <w:p w14:paraId="4EC853F7" w14:textId="77777777" w:rsidR="001203F2" w:rsidRPr="001203F2" w:rsidRDefault="001203F2" w:rsidP="001203F2">
      <w:pPr>
        <w:rPr>
          <w:rFonts w:ascii="Courier New" w:hAnsi="Courier New" w:cs="Courier New"/>
        </w:rPr>
      </w:pPr>
      <w:r w:rsidRPr="001203F2">
        <w:rPr>
          <w:rFonts w:ascii="Courier New" w:hAnsi="Courier New" w:cs="Courier New"/>
        </w:rPr>
        <w:t>DPYD*13 (c.1679T&gt;G p.I560S):         Not Detected</w:t>
      </w:r>
    </w:p>
    <w:p w14:paraId="764A19B2" w14:textId="77777777" w:rsidR="001203F2" w:rsidRPr="001203F2" w:rsidRDefault="001203F2" w:rsidP="001203F2">
      <w:pPr>
        <w:rPr>
          <w:rFonts w:ascii="Courier New" w:hAnsi="Courier New" w:cs="Courier New"/>
        </w:rPr>
      </w:pPr>
      <w:r w:rsidRPr="001203F2">
        <w:rPr>
          <w:rFonts w:ascii="Courier New" w:hAnsi="Courier New" w:cs="Courier New"/>
        </w:rPr>
        <w:t>DPYD HapB3 (c.1236G&gt;A):              Not Detected</w:t>
      </w:r>
    </w:p>
    <w:p w14:paraId="13C8C23E" w14:textId="77777777" w:rsidR="001203F2" w:rsidRPr="001203F2" w:rsidRDefault="001203F2" w:rsidP="001203F2">
      <w:pPr>
        <w:rPr>
          <w:b/>
          <w:bCs/>
          <w:lang w:val="x-none"/>
        </w:rPr>
      </w:pPr>
      <w:r w:rsidRPr="001203F2">
        <w:rPr>
          <w:b/>
          <w:bCs/>
          <w:lang w:val="x-none"/>
        </w:rPr>
        <w:t>_______________________________________________________________________________</w:t>
      </w:r>
    </w:p>
    <w:p w14:paraId="17D092AD" w14:textId="77777777" w:rsidR="001203F2" w:rsidRPr="001203F2" w:rsidRDefault="001203F2" w:rsidP="001203F2">
      <w:pPr>
        <w:rPr>
          <w:b/>
          <w:bCs/>
          <w:lang w:val="x-none"/>
        </w:rPr>
      </w:pPr>
    </w:p>
    <w:p w14:paraId="3797BBA2" w14:textId="77777777" w:rsidR="001203F2" w:rsidRPr="001203F2" w:rsidRDefault="001203F2" w:rsidP="001203F2">
      <w:pPr>
        <w:rPr>
          <w:b/>
          <w:bCs/>
          <w:lang w:val="x-none"/>
        </w:rPr>
      </w:pPr>
      <w:r w:rsidRPr="001203F2">
        <w:rPr>
          <w:b/>
          <w:bCs/>
        </w:rPr>
        <w:t>I</w:t>
      </w:r>
      <w:proofErr w:type="spellStart"/>
      <w:r w:rsidRPr="001203F2">
        <w:rPr>
          <w:b/>
          <w:bCs/>
          <w:lang w:val="x-none"/>
        </w:rPr>
        <w:t>nterpretation</w:t>
      </w:r>
      <w:proofErr w:type="spellEnd"/>
      <w:r w:rsidRPr="001203F2">
        <w:rPr>
          <w:b/>
          <w:bCs/>
          <w:lang w:val="x-none"/>
        </w:rPr>
        <w:t>:</w:t>
      </w:r>
    </w:p>
    <w:p w14:paraId="530605F3" w14:textId="77777777" w:rsidR="001203F2" w:rsidRPr="001203F2" w:rsidRDefault="001203F2" w:rsidP="001203F2">
      <w:pPr>
        <w:rPr>
          <w:lang w:val="x-none"/>
        </w:rPr>
      </w:pPr>
      <w:r w:rsidRPr="001203F2">
        <w:t>Based on this genotype, there is no indication to modify dose or therapy. Use label-recommended dosage for fluoropyrimidine drugs.</w:t>
      </w:r>
    </w:p>
    <w:p w14:paraId="291F1BC9" w14:textId="77777777" w:rsidR="001203F2" w:rsidRPr="001203F2" w:rsidRDefault="001203F2" w:rsidP="001203F2">
      <w:pPr>
        <w:rPr>
          <w:lang w:val="x-none"/>
        </w:rPr>
      </w:pPr>
    </w:p>
    <w:p w14:paraId="2979C610" w14:textId="77777777" w:rsidR="001203F2" w:rsidRPr="001203F2" w:rsidRDefault="001203F2" w:rsidP="001203F2">
      <w:pPr>
        <w:rPr>
          <w:lang w:val="x-none"/>
        </w:rPr>
      </w:pPr>
      <w:r w:rsidRPr="001203F2">
        <w:rPr>
          <w:b/>
          <w:bCs/>
          <w:lang w:val="x-none"/>
        </w:rPr>
        <w:t>Background:</w:t>
      </w:r>
    </w:p>
    <w:p w14:paraId="3FB017B3" w14:textId="77777777" w:rsidR="001203F2" w:rsidRPr="001203F2" w:rsidRDefault="001203F2" w:rsidP="001203F2">
      <w:pPr>
        <w:rPr>
          <w:lang w:val="x-none"/>
        </w:rPr>
      </w:pPr>
      <w:r w:rsidRPr="001203F2">
        <w:rPr>
          <w:lang w:val="x-none"/>
        </w:rPr>
        <w:t xml:space="preserve">Fluoropyrimidine drugs (such as 5-fluorouracil and capecitabine) are used to treat different types of cancer. However, these drugs may cause severe toxicity in about 10% to 40% of patients. A deficiency in the </w:t>
      </w:r>
      <w:proofErr w:type="spellStart"/>
      <w:r w:rsidRPr="001203F2">
        <w:rPr>
          <w:lang w:val="x-none"/>
        </w:rPr>
        <w:t>dihydropyrimidine</w:t>
      </w:r>
      <w:proofErr w:type="spellEnd"/>
      <w:r w:rsidRPr="001203F2">
        <w:rPr>
          <w:lang w:val="x-none"/>
        </w:rPr>
        <w:t xml:space="preserve"> dehydrogenase (DPD) enzyme, encoded by the DPYD gene, increases the risk of severe toxicity. DPYD genotyping aims to identify variants that lead to DPD deficiency and may help to identify people who are at higher risk of developing severe toxicity, allowing their treatment to be modified before it begins.</w:t>
      </w:r>
    </w:p>
    <w:p w14:paraId="6189F73B" w14:textId="77777777" w:rsidR="001203F2" w:rsidRPr="001203F2" w:rsidRDefault="001203F2" w:rsidP="001203F2">
      <w:pPr>
        <w:rPr>
          <w:lang w:val="x-none"/>
        </w:rPr>
      </w:pPr>
    </w:p>
    <w:p w14:paraId="04DE7E09" w14:textId="77777777" w:rsidR="001203F2" w:rsidRPr="001203F2" w:rsidRDefault="001203F2" w:rsidP="001203F2">
      <w:pPr>
        <w:rPr>
          <w:lang w:val="x-none"/>
        </w:rPr>
      </w:pPr>
      <w:r w:rsidRPr="001203F2">
        <w:rPr>
          <w:b/>
          <w:bCs/>
          <w:lang w:val="x-none"/>
        </w:rPr>
        <w:t>Method:</w:t>
      </w:r>
    </w:p>
    <w:p w14:paraId="6695CC73" w14:textId="77777777" w:rsidR="001203F2" w:rsidRPr="001203F2" w:rsidRDefault="001203F2" w:rsidP="001203F2">
      <w:pPr>
        <w:rPr>
          <w:i/>
          <w:iCs/>
          <w:lang w:val="x-none"/>
        </w:rPr>
      </w:pPr>
      <w:r w:rsidRPr="001203F2">
        <w:rPr>
          <w:i/>
          <w:iCs/>
          <w:lang w:val="x-none"/>
        </w:rPr>
        <w:t>Platform:</w:t>
      </w:r>
    </w:p>
    <w:p w14:paraId="1BD145ED" w14:textId="77777777" w:rsidR="001203F2" w:rsidRPr="001203F2" w:rsidRDefault="001203F2" w:rsidP="001203F2">
      <w:pPr>
        <w:rPr>
          <w:lang w:val="x-none"/>
        </w:rPr>
      </w:pPr>
      <w:r w:rsidRPr="001203F2">
        <w:rPr>
          <w:lang w:val="x-none"/>
        </w:rPr>
        <w:lastRenderedPageBreak/>
        <w:t xml:space="preserve">DNA isolated from peripheral blood leukocytes was analysed using a custom-designed </w:t>
      </w:r>
      <w:proofErr w:type="spellStart"/>
      <w:r w:rsidRPr="001203F2">
        <w:rPr>
          <w:lang w:val="x-none"/>
        </w:rPr>
        <w:t>rhAmpSeq</w:t>
      </w:r>
      <w:proofErr w:type="spellEnd"/>
      <w:r w:rsidRPr="001203F2">
        <w:rPr>
          <w:lang w:val="x-none"/>
        </w:rPr>
        <w:t xml:space="preserve"> amplicon panel manufactured by Integrated DNA Technologies and sequenced using the Illumina </w:t>
      </w:r>
      <w:proofErr w:type="spellStart"/>
      <w:r w:rsidRPr="001203F2">
        <w:rPr>
          <w:lang w:val="x-none"/>
        </w:rPr>
        <w:t>MiSeq</w:t>
      </w:r>
      <w:proofErr w:type="spellEnd"/>
      <w:r w:rsidRPr="001203F2">
        <w:rPr>
          <w:lang w:val="x-none"/>
        </w:rPr>
        <w:t xml:space="preserve"> Sequencing System. This assay achieves &gt;98% of bases with depth of coverage &gt;250x. </w:t>
      </w:r>
    </w:p>
    <w:p w14:paraId="46744906" w14:textId="77777777" w:rsidR="001203F2" w:rsidRPr="001203F2" w:rsidRDefault="001203F2" w:rsidP="001203F2">
      <w:pPr>
        <w:rPr>
          <w:i/>
          <w:iCs/>
          <w:lang w:val="x-none"/>
        </w:rPr>
      </w:pPr>
      <w:r w:rsidRPr="001203F2">
        <w:rPr>
          <w:i/>
          <w:iCs/>
          <w:lang w:val="x-none"/>
        </w:rPr>
        <w:t>Bioinformatics:</w:t>
      </w:r>
    </w:p>
    <w:p w14:paraId="7622404C" w14:textId="77777777" w:rsidR="001203F2" w:rsidRPr="001203F2" w:rsidRDefault="001203F2" w:rsidP="001203F2">
      <w:pPr>
        <w:rPr>
          <w:lang w:val="x-none"/>
        </w:rPr>
      </w:pPr>
      <w:r w:rsidRPr="001203F2">
        <w:rPr>
          <w:lang w:val="x-none"/>
        </w:rPr>
        <w:t xml:space="preserve">Sequences were aligned to the human reference genome (GRCh38) using Burrows-Wheeler Aligner. Variant calling was performed using </w:t>
      </w:r>
      <w:proofErr w:type="spellStart"/>
      <w:r w:rsidRPr="001203F2">
        <w:rPr>
          <w:lang w:val="x-none"/>
        </w:rPr>
        <w:t>VarDict</w:t>
      </w:r>
      <w:proofErr w:type="spellEnd"/>
      <w:r w:rsidRPr="001203F2">
        <w:rPr>
          <w:lang w:val="x-none"/>
        </w:rPr>
        <w:t>. This method detects single nucleotide variants and small insertion/deletion variants within targeted regions. The assay sensitivity is specific for each individual variant and is dependent on DNA quality and quantity; however, at the target read depth the lower limit of detection of the assay is estimated to be around 5% mutant DNA in a background of 'wild-type' DNA (i.e. variant allele frequency, VAF).</w:t>
      </w:r>
    </w:p>
    <w:p w14:paraId="1B098AA3" w14:textId="77777777" w:rsidR="001203F2" w:rsidRPr="001203F2" w:rsidRDefault="001203F2" w:rsidP="001203F2">
      <w:pPr>
        <w:rPr>
          <w:lang w:val="x-none"/>
        </w:rPr>
      </w:pPr>
      <w:r w:rsidRPr="001203F2">
        <w:rPr>
          <w:i/>
          <w:iCs/>
          <w:lang w:val="x-none"/>
        </w:rPr>
        <w:t>Variant classification:</w:t>
      </w:r>
    </w:p>
    <w:p w14:paraId="58185FC3" w14:textId="77777777" w:rsidR="001203F2" w:rsidRPr="001203F2" w:rsidRDefault="001203F2" w:rsidP="001203F2">
      <w:pPr>
        <w:rPr>
          <w:lang w:val="x-none"/>
        </w:rPr>
      </w:pPr>
      <w:r w:rsidRPr="001203F2">
        <w:rPr>
          <w:lang w:val="x-none"/>
        </w:rPr>
        <w:t xml:space="preserve">Variant annotation was performed using </w:t>
      </w:r>
      <w:proofErr w:type="spellStart"/>
      <w:r w:rsidRPr="001203F2">
        <w:rPr>
          <w:lang w:val="x-none"/>
        </w:rPr>
        <w:t>VariantGrid</w:t>
      </w:r>
      <w:proofErr w:type="spellEnd"/>
      <w:r w:rsidRPr="001203F2">
        <w:rPr>
          <w:lang w:val="x-none"/>
        </w:rPr>
        <w:t xml:space="preserve"> v3. Variants are described according to HGVS nomenclature. Variants are visually inspected in IGV.</w:t>
      </w:r>
    </w:p>
    <w:p w14:paraId="3A1E9FCB" w14:textId="77777777" w:rsidR="001203F2" w:rsidRPr="001203F2" w:rsidRDefault="001203F2" w:rsidP="001203F2">
      <w:pPr>
        <w:rPr>
          <w:i/>
          <w:iCs/>
          <w:lang w:val="x-none"/>
        </w:rPr>
      </w:pPr>
      <w:r w:rsidRPr="001203F2">
        <w:rPr>
          <w:i/>
          <w:iCs/>
          <w:lang w:val="x-none"/>
        </w:rPr>
        <w:t>Limitations:</w:t>
      </w:r>
    </w:p>
    <w:p w14:paraId="43E5146D" w14:textId="77777777" w:rsidR="001203F2" w:rsidRPr="001203F2" w:rsidRDefault="001203F2" w:rsidP="001203F2">
      <w:pPr>
        <w:rPr>
          <w:lang w:val="x-none"/>
        </w:rPr>
      </w:pPr>
      <w:r w:rsidRPr="001203F2">
        <w:rPr>
          <w:lang w:val="x-none"/>
        </w:rPr>
        <w:t xml:space="preserve">The lack of detection of a variant does not exclude the possibility of the presence of clinically relevant genetic variant in patients, for reasons such as to allelic drop-out due to private SNPs or other assay limitations. This method is unable to detect large deletions (including whole exon / whole gene deletions), large insertions, large duplications, structural rearrangements, deep intronic variants and variants in unscreened regions. This assay does NOT test for the c.557A&gt;G p.(Y186C) variant that is commonly observed in individuals of African ancestry. For the HapB3 genotype  “decreased function” is inferred by detecting the </w:t>
      </w:r>
      <w:proofErr w:type="spellStart"/>
      <w:r w:rsidRPr="001203F2">
        <w:rPr>
          <w:lang w:val="x-none"/>
        </w:rPr>
        <w:t>exonic</w:t>
      </w:r>
      <w:proofErr w:type="spellEnd"/>
      <w:r w:rsidRPr="001203F2">
        <w:rPr>
          <w:lang w:val="x-none"/>
        </w:rPr>
        <w:t xml:space="preserve"> tag SNP (c.1236G&gt;A). Recent studies indicate that in rare cases, the causal decreased function variant c.1129-5923C&gt;G may not be present despite having this tag SNP (PMID:  38129972). Although not documented in the literature to date it is possible that the HapB3 c.1129-5923C&gt;G variant may also be present without detection of the c.1236G&gt;A tagging SNP.</w:t>
      </w:r>
    </w:p>
    <w:p w14:paraId="464D5FBB" w14:textId="77777777" w:rsidR="001203F2" w:rsidRPr="001203F2" w:rsidRDefault="001203F2" w:rsidP="001203F2">
      <w:pPr>
        <w:rPr>
          <w:lang w:val="x-none"/>
        </w:rPr>
      </w:pPr>
    </w:p>
    <w:p w14:paraId="215E6360" w14:textId="77777777" w:rsidR="001203F2" w:rsidRPr="001203F2" w:rsidRDefault="001203F2" w:rsidP="001203F2">
      <w:pPr>
        <w:rPr>
          <w:b/>
          <w:bCs/>
          <w:lang w:val="x-none"/>
        </w:rPr>
      </w:pPr>
      <w:r w:rsidRPr="001203F2">
        <w:rPr>
          <w:b/>
          <w:bCs/>
          <w:lang w:val="x-none"/>
        </w:rPr>
        <w:t xml:space="preserve">Genes tested: </w:t>
      </w:r>
    </w:p>
    <w:p w14:paraId="3D171691" w14:textId="77777777" w:rsidR="001203F2" w:rsidRPr="001203F2" w:rsidRDefault="001203F2" w:rsidP="001203F2">
      <w:pPr>
        <w:rPr>
          <w:lang w:val="x-none"/>
        </w:rPr>
      </w:pPr>
      <w:r w:rsidRPr="001203F2">
        <w:rPr>
          <w:lang w:val="x-none"/>
        </w:rPr>
        <w:t>DPYD (NM_000110.4)</w:t>
      </w:r>
    </w:p>
    <w:p w14:paraId="39C99776" w14:textId="77777777" w:rsidR="001203F2" w:rsidRPr="001203F2" w:rsidRDefault="001203F2" w:rsidP="001203F2">
      <w:pPr>
        <w:rPr>
          <w:lang w:val="x-none"/>
        </w:rPr>
      </w:pPr>
    </w:p>
    <w:p w14:paraId="05C45B18" w14:textId="77777777" w:rsidR="001203F2" w:rsidRPr="001203F2" w:rsidRDefault="001203F2" w:rsidP="001203F2">
      <w:pPr>
        <w:rPr>
          <w:b/>
          <w:bCs/>
        </w:rPr>
      </w:pPr>
      <w:r w:rsidRPr="001203F2">
        <w:rPr>
          <w:b/>
          <w:bCs/>
        </w:rPr>
        <w:t>References:</w:t>
      </w:r>
    </w:p>
    <w:p w14:paraId="58E7574C" w14:textId="77777777" w:rsidR="001203F2" w:rsidRPr="001203F2" w:rsidRDefault="001203F2" w:rsidP="001203F2">
      <w:proofErr w:type="spellStart"/>
      <w:r w:rsidRPr="001203F2">
        <w:t>Ont</w:t>
      </w:r>
      <w:proofErr w:type="spellEnd"/>
      <w:r w:rsidRPr="001203F2">
        <w:t xml:space="preserve"> Health Technol Assess Ser. 2021 Aug 12;21(14):1-186.</w:t>
      </w:r>
    </w:p>
    <w:p w14:paraId="3E0CE590" w14:textId="77777777" w:rsidR="001203F2" w:rsidRPr="001203F2" w:rsidRDefault="001203F2" w:rsidP="001203F2">
      <w:r w:rsidRPr="001203F2">
        <w:t>https://www.pharmgkb.org/gene/PA145</w:t>
      </w:r>
    </w:p>
    <w:p w14:paraId="1F3C035F" w14:textId="0F59C5CD" w:rsidR="001203F2" w:rsidRPr="001203F2" w:rsidRDefault="001203F2" w:rsidP="001203F2">
      <w:r w:rsidRPr="001203F2">
        <w:t>https://cpicpgx.org/guidelines/guideline-for-fluoropyrimidines-and-dpyd/</w:t>
      </w:r>
    </w:p>
    <w:p w14:paraId="5C5A1406" w14:textId="77777777" w:rsidR="001203F2" w:rsidRPr="001203F2" w:rsidRDefault="001203F2" w:rsidP="001203F2">
      <w:pPr>
        <w:rPr>
          <w:lang w:val="x-none"/>
        </w:rPr>
      </w:pPr>
    </w:p>
    <w:p w14:paraId="06BF1315" w14:textId="77777777" w:rsidR="001203F2" w:rsidRPr="001203F2" w:rsidRDefault="001203F2" w:rsidP="001203F2">
      <w:pPr>
        <w:rPr>
          <w:lang w:val="x-none"/>
        </w:rPr>
      </w:pPr>
      <w:r w:rsidRPr="001203F2">
        <w:rPr>
          <w:lang w:val="x-none"/>
        </w:rPr>
        <w:t xml:space="preserve">End of report </w:t>
      </w:r>
    </w:p>
    <w:p w14:paraId="6B4BCB7E" w14:textId="77777777" w:rsidR="001203F2" w:rsidRPr="001203F2" w:rsidRDefault="001203F2" w:rsidP="001203F2">
      <w:pPr>
        <w:rPr>
          <w:lang w:val="x-none"/>
        </w:rPr>
      </w:pPr>
      <w:r w:rsidRPr="001203F2">
        <w:rPr>
          <w:lang w:val="x-none"/>
        </w:rPr>
        <w:t xml:space="preserve"> </w:t>
      </w:r>
    </w:p>
    <w:p w14:paraId="55CA89D2" w14:textId="77777777" w:rsidR="001203F2" w:rsidRPr="001203F2" w:rsidRDefault="001203F2" w:rsidP="001203F2">
      <w:pPr>
        <w:rPr>
          <w:lang w:val="x-none"/>
        </w:rPr>
      </w:pPr>
      <w:r w:rsidRPr="001203F2">
        <w:rPr>
          <w:lang w:val="x-none"/>
        </w:rPr>
        <w:t xml:space="preserve"> </w:t>
      </w:r>
    </w:p>
    <w:p w14:paraId="5616309A" w14:textId="77777777" w:rsidR="001203F2" w:rsidRPr="001203F2" w:rsidRDefault="001203F2" w:rsidP="001203F2">
      <w:pPr>
        <w:rPr>
          <w:lang w:val="x-none"/>
        </w:rPr>
      </w:pPr>
      <w:r w:rsidRPr="001203F2">
        <w:rPr>
          <w:lang w:val="x-none"/>
        </w:rPr>
        <w:t xml:space="preserve"> </w:t>
      </w:r>
    </w:p>
    <w:p w14:paraId="2C5372B1" w14:textId="77777777" w:rsidR="001203F2" w:rsidRPr="001203F2" w:rsidRDefault="001203F2" w:rsidP="001203F2">
      <w:pPr>
        <w:rPr>
          <w:lang w:val="x-none"/>
        </w:rPr>
      </w:pPr>
    </w:p>
    <w:p w14:paraId="46CC6AF8" w14:textId="77777777" w:rsidR="00C70098" w:rsidRPr="00C70098" w:rsidRDefault="00C70098" w:rsidP="00C70098">
      <w:pPr>
        <w:rPr>
          <w:lang w:val="x-none"/>
        </w:rPr>
      </w:pPr>
    </w:p>
    <w:p w14:paraId="2172C712" w14:textId="77777777" w:rsidR="00C70098" w:rsidRPr="00C70098" w:rsidRDefault="00C70098" w:rsidP="00C70098">
      <w:pPr>
        <w:rPr>
          <w:lang w:val="x-none"/>
        </w:rPr>
      </w:pPr>
      <w:r w:rsidRPr="00C70098">
        <w:rPr>
          <w:lang w:val="x-none"/>
        </w:rPr>
        <w:t xml:space="preserve"> </w:t>
      </w:r>
    </w:p>
    <w:p w14:paraId="4B4BB536" w14:textId="77777777" w:rsidR="00C70098" w:rsidRPr="00C70098" w:rsidRDefault="00C70098" w:rsidP="00C70098">
      <w:pPr>
        <w:rPr>
          <w:lang w:val="x-none"/>
        </w:rPr>
      </w:pPr>
      <w:r w:rsidRPr="00C70098">
        <w:rPr>
          <w:lang w:val="x-none"/>
        </w:rPr>
        <w:lastRenderedPageBreak/>
        <w:t xml:space="preserve"> </w:t>
      </w:r>
    </w:p>
    <w:p w14:paraId="3273B0E2" w14:textId="77777777" w:rsidR="00C70098" w:rsidRPr="00C70098" w:rsidRDefault="00C70098" w:rsidP="00C70098">
      <w:pPr>
        <w:rPr>
          <w:lang w:val="x-none"/>
        </w:rPr>
      </w:pPr>
      <w:r w:rsidRPr="00C70098">
        <w:rPr>
          <w:lang w:val="x-none"/>
        </w:rPr>
        <w:t xml:space="preserve"> </w:t>
      </w:r>
    </w:p>
    <w:p w14:paraId="1B55A6E5" w14:textId="77777777" w:rsidR="00C70098" w:rsidRPr="00C70098" w:rsidRDefault="00C70098" w:rsidP="00C70098">
      <w:pPr>
        <w:rPr>
          <w:lang w:val="x-none"/>
        </w:rPr>
      </w:pPr>
    </w:p>
    <w:p w14:paraId="382571D2" w14:textId="77777777" w:rsidR="006C1831" w:rsidRPr="006C1831" w:rsidRDefault="006C1831" w:rsidP="006C1831">
      <w:pPr>
        <w:rPr>
          <w:lang w:val="x-none"/>
        </w:rPr>
      </w:pPr>
    </w:p>
    <w:p w14:paraId="24AC02D8" w14:textId="0CCD7D61" w:rsidR="00B20633" w:rsidRPr="00A35768" w:rsidRDefault="00B20633">
      <w:pPr>
        <w:rPr>
          <w:lang w:val="en-US"/>
        </w:rPr>
      </w:pPr>
    </w:p>
    <w:sectPr w:rsidR="00B20633" w:rsidRPr="00A35768">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3B54" w14:textId="77777777" w:rsidR="00D5085B" w:rsidRDefault="00D5085B" w:rsidP="00A35768">
      <w:pPr>
        <w:spacing w:after="0" w:line="240" w:lineRule="auto"/>
      </w:pPr>
      <w:r>
        <w:separator/>
      </w:r>
    </w:p>
  </w:endnote>
  <w:endnote w:type="continuationSeparator" w:id="0">
    <w:p w14:paraId="0D3FDE76" w14:textId="77777777" w:rsidR="00D5085B" w:rsidRDefault="00D5085B" w:rsidP="00A3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18C" w14:textId="4B878331" w:rsidR="00A35768" w:rsidRDefault="00A35768">
    <w:pPr>
      <w:pStyle w:val="Footer"/>
    </w:pPr>
    <w:r>
      <w:rPr>
        <w:noProof/>
      </w:rPr>
      <mc:AlternateContent>
        <mc:Choice Requires="wps">
          <w:drawing>
            <wp:anchor distT="0" distB="0" distL="0" distR="0" simplePos="0" relativeHeight="251662336" behindDoc="0" locked="0" layoutInCell="1" allowOverlap="1" wp14:anchorId="28C0DB60" wp14:editId="37AE2DA3">
              <wp:simplePos x="635" y="635"/>
              <wp:positionH relativeFrom="page">
                <wp:align>center</wp:align>
              </wp:positionH>
              <wp:positionV relativeFrom="page">
                <wp:align>bottom</wp:align>
              </wp:positionV>
              <wp:extent cx="1389380" cy="379730"/>
              <wp:effectExtent l="0" t="0" r="1270" b="0"/>
              <wp:wrapNone/>
              <wp:docPr id="972191133"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6639980" w14:textId="36046AD7"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0DB60" id="_x0000_t202" coordsize="21600,21600" o:spt="202" path="m,l,21600r21600,l21600,xe">
              <v:stroke joinstyle="miter"/>
              <v:path gradientshapeok="t" o:connecttype="rect"/>
            </v:shapetype>
            <v:shape id="Text Box 5" o:spid="_x0000_s1028" type="#_x0000_t202" alt="OFFICIAL: Sensitive " style="position:absolute;margin-left:0;margin-top:0;width:109.4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jHNJNg8CAAAd&#10;BAAADgAAAAAAAAAAAAAAAAAuAgAAZHJzL2Uyb0RvYy54bWxQSwECLQAUAAYACAAAACEA5ZUzh9oA&#10;AAAEAQAADwAAAAAAAAAAAAAAAABpBAAAZHJzL2Rvd25yZXYueG1sUEsFBgAAAAAEAAQA8wAAAHAF&#10;AAAAAA==&#10;" filled="f" stroked="f">
              <v:fill o:detectmouseclick="t"/>
              <v:textbox style="mso-fit-shape-to-text:t" inset="0,0,0,15pt">
                <w:txbxContent>
                  <w:p w14:paraId="06639980" w14:textId="36046AD7"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04A" w14:textId="1B468774" w:rsidR="00A35768" w:rsidRDefault="00A35768">
    <w:pPr>
      <w:pStyle w:val="Footer"/>
    </w:pPr>
    <w:r>
      <w:rPr>
        <w:noProof/>
      </w:rPr>
      <mc:AlternateContent>
        <mc:Choice Requires="wps">
          <w:drawing>
            <wp:anchor distT="0" distB="0" distL="0" distR="0" simplePos="0" relativeHeight="251661312" behindDoc="0" locked="0" layoutInCell="1" allowOverlap="1" wp14:anchorId="7BC7337F" wp14:editId="017ECB37">
              <wp:simplePos x="635" y="635"/>
              <wp:positionH relativeFrom="page">
                <wp:align>center</wp:align>
              </wp:positionH>
              <wp:positionV relativeFrom="page">
                <wp:align>bottom</wp:align>
              </wp:positionV>
              <wp:extent cx="1389380" cy="379730"/>
              <wp:effectExtent l="0" t="0" r="1270" b="0"/>
              <wp:wrapNone/>
              <wp:docPr id="933087471"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BEB0186" w14:textId="61A65675"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7337F" id="_x0000_t202" coordsize="21600,21600" o:spt="202" path="m,l,21600r21600,l21600,xe">
              <v:stroke joinstyle="miter"/>
              <v:path gradientshapeok="t" o:connecttype="rect"/>
            </v:shapetype>
            <v:shape id="Text Box 4" o:spid="_x0000_s1031" type="#_x0000_t202" alt="OFFICIAL: Sensitive " style="position:absolute;margin-left:0;margin-top:0;width:109.4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fill o:detectmouseclick="t"/>
              <v:textbox style="mso-fit-shape-to-text:t" inset="0,0,0,15pt">
                <w:txbxContent>
                  <w:p w14:paraId="5BEB0186" w14:textId="61A65675"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A646" w14:textId="77777777" w:rsidR="00D5085B" w:rsidRDefault="00D5085B" w:rsidP="00A35768">
      <w:pPr>
        <w:spacing w:after="0" w:line="240" w:lineRule="auto"/>
      </w:pPr>
      <w:r>
        <w:separator/>
      </w:r>
    </w:p>
  </w:footnote>
  <w:footnote w:type="continuationSeparator" w:id="0">
    <w:p w14:paraId="3F6659F1" w14:textId="77777777" w:rsidR="00D5085B" w:rsidRDefault="00D5085B" w:rsidP="00A3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855" w14:textId="03E1D3FC" w:rsidR="00A35768" w:rsidRDefault="00A35768">
    <w:pPr>
      <w:pStyle w:val="Header"/>
    </w:pPr>
    <w:r>
      <w:rPr>
        <w:noProof/>
      </w:rPr>
      <mc:AlternateContent>
        <mc:Choice Requires="wps">
          <w:drawing>
            <wp:anchor distT="0" distB="0" distL="0" distR="0" simplePos="0" relativeHeight="251659264" behindDoc="0" locked="0" layoutInCell="1" allowOverlap="1" wp14:anchorId="098E2B10" wp14:editId="70E6AC3C">
              <wp:simplePos x="635" y="635"/>
              <wp:positionH relativeFrom="page">
                <wp:align>center</wp:align>
              </wp:positionH>
              <wp:positionV relativeFrom="page">
                <wp:align>top</wp:align>
              </wp:positionV>
              <wp:extent cx="1389380" cy="379730"/>
              <wp:effectExtent l="0" t="0" r="1270" b="1270"/>
              <wp:wrapNone/>
              <wp:docPr id="179169403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23904FF" w14:textId="70819DCD"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E2B10"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JDQ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vRl/C9WRtvJwIjw4uWqo9VoEfBaeGKZpSbX4&#10;RIc20JUczhZnNfiff/PHfAKeopx1pJiSW5I0Z+a7JUKiuJIxnuWfc/rzg3s7GHbf3gPpcExPwslk&#10;xjw0g6k9tK+k52VsRCFhJbUrOQ7mPZ6kS+9BquUyJZGOnMC13TgZS0e4IpYv/avw7gw4ElWPMMhJ&#10;FO9wP+XGm8Et90joJ1IitCcgz4iTBhNX5/cSRf72P2VdX/XiFwA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Mv2YEkNAgAAHQQA&#10;AA4AAAAAAAAAAAAAAAAALgIAAGRycy9lMm9Eb2MueG1sUEsBAi0AFAAGAAgAAAAhANT6j77aAAAA&#10;BAEAAA8AAAAAAAAAAAAAAAAAZwQAAGRycy9kb3ducmV2LnhtbFBLBQYAAAAABAAEAPMAAABuBQAA&#10;AAA=&#10;" filled="f" stroked="f">
              <v:fill o:detectmouseclick="t"/>
              <v:textbox style="mso-fit-shape-to-text:t" inset="0,15pt,0,0">
                <w:txbxContent>
                  <w:p w14:paraId="523904FF" w14:textId="70819DCD"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6C54" w14:textId="10B1746C" w:rsidR="00A35768" w:rsidRDefault="00A35768">
    <w:pPr>
      <w:pStyle w:val="Header"/>
    </w:pPr>
    <w:r>
      <w:rPr>
        <w:noProof/>
      </w:rPr>
      <mc:AlternateContent>
        <mc:Choice Requires="wps">
          <w:drawing>
            <wp:anchor distT="0" distB="0" distL="0" distR="0" simplePos="0" relativeHeight="251658240" behindDoc="0" locked="0" layoutInCell="1" allowOverlap="1" wp14:anchorId="02CC0E6F" wp14:editId="0F824CB7">
              <wp:simplePos x="635" y="635"/>
              <wp:positionH relativeFrom="page">
                <wp:align>center</wp:align>
              </wp:positionH>
              <wp:positionV relativeFrom="page">
                <wp:align>top</wp:align>
              </wp:positionV>
              <wp:extent cx="1389380" cy="379730"/>
              <wp:effectExtent l="0" t="0" r="1270" b="1270"/>
              <wp:wrapNone/>
              <wp:docPr id="124619385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D1DE90B" w14:textId="6F822296"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C0E6F" id="_x0000_t202" coordsize="21600,21600" o:spt="202" path="m,l,21600r21600,l21600,xe">
              <v:stroke joinstyle="miter"/>
              <v:path gradientshapeok="t" o:connecttype="rect"/>
            </v:shapetype>
            <v:shape id="Text Box 1" o:spid="_x0000_s1030"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fill o:detectmouseclick="t"/>
              <v:textbox style="mso-fit-shape-to-text:t" inset="0,15pt,0,0">
                <w:txbxContent>
                  <w:p w14:paraId="2D1DE90B" w14:textId="6F822296" w:rsidR="00A35768" w:rsidRPr="00A35768" w:rsidRDefault="00A35768" w:rsidP="00A35768">
                    <w:pPr>
                      <w:spacing w:after="0"/>
                      <w:rPr>
                        <w:rFonts w:eastAsia="Arial"/>
                        <w:noProof/>
                        <w:color w:val="A80000"/>
                        <w:sz w:val="24"/>
                        <w:szCs w:val="24"/>
                      </w:rPr>
                    </w:pPr>
                    <w:r w:rsidRPr="00A35768">
                      <w:rPr>
                        <w:rFonts w:eastAsia="Arial"/>
                        <w:noProof/>
                        <w:color w:val="A8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68"/>
    <w:rsid w:val="001203F2"/>
    <w:rsid w:val="00190964"/>
    <w:rsid w:val="002147EB"/>
    <w:rsid w:val="00310B09"/>
    <w:rsid w:val="0037470A"/>
    <w:rsid w:val="005F5ADA"/>
    <w:rsid w:val="006C1831"/>
    <w:rsid w:val="00885637"/>
    <w:rsid w:val="008E3573"/>
    <w:rsid w:val="00957633"/>
    <w:rsid w:val="009A2C29"/>
    <w:rsid w:val="00A35768"/>
    <w:rsid w:val="00B20633"/>
    <w:rsid w:val="00C70098"/>
    <w:rsid w:val="00D5085B"/>
    <w:rsid w:val="00E44F7E"/>
    <w:rsid w:val="00F92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C8C3"/>
  <w15:chartTrackingRefBased/>
  <w15:docId w15:val="{486999A4-AA6B-4E0F-AF6E-381D95D4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7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7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7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7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7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7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7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7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7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7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7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7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7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7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7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7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768"/>
    <w:pPr>
      <w:spacing w:before="160"/>
      <w:jc w:val="center"/>
    </w:pPr>
    <w:rPr>
      <w:i/>
      <w:iCs/>
      <w:color w:val="404040" w:themeColor="text1" w:themeTint="BF"/>
    </w:rPr>
  </w:style>
  <w:style w:type="character" w:customStyle="1" w:styleId="QuoteChar">
    <w:name w:val="Quote Char"/>
    <w:basedOn w:val="DefaultParagraphFont"/>
    <w:link w:val="Quote"/>
    <w:uiPriority w:val="29"/>
    <w:rsid w:val="00A35768"/>
    <w:rPr>
      <w:i/>
      <w:iCs/>
      <w:color w:val="404040" w:themeColor="text1" w:themeTint="BF"/>
    </w:rPr>
  </w:style>
  <w:style w:type="paragraph" w:styleId="ListParagraph">
    <w:name w:val="List Paragraph"/>
    <w:basedOn w:val="Normal"/>
    <w:uiPriority w:val="34"/>
    <w:qFormat/>
    <w:rsid w:val="00A35768"/>
    <w:pPr>
      <w:ind w:left="720"/>
      <w:contextualSpacing/>
    </w:pPr>
  </w:style>
  <w:style w:type="character" w:styleId="IntenseEmphasis">
    <w:name w:val="Intense Emphasis"/>
    <w:basedOn w:val="DefaultParagraphFont"/>
    <w:uiPriority w:val="21"/>
    <w:qFormat/>
    <w:rsid w:val="00A35768"/>
    <w:rPr>
      <w:i/>
      <w:iCs/>
      <w:color w:val="0F4761" w:themeColor="accent1" w:themeShade="BF"/>
    </w:rPr>
  </w:style>
  <w:style w:type="paragraph" w:styleId="IntenseQuote">
    <w:name w:val="Intense Quote"/>
    <w:basedOn w:val="Normal"/>
    <w:next w:val="Normal"/>
    <w:link w:val="IntenseQuoteChar"/>
    <w:uiPriority w:val="30"/>
    <w:qFormat/>
    <w:rsid w:val="00A35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768"/>
    <w:rPr>
      <w:i/>
      <w:iCs/>
      <w:color w:val="0F4761" w:themeColor="accent1" w:themeShade="BF"/>
    </w:rPr>
  </w:style>
  <w:style w:type="character" w:styleId="IntenseReference">
    <w:name w:val="Intense Reference"/>
    <w:basedOn w:val="DefaultParagraphFont"/>
    <w:uiPriority w:val="32"/>
    <w:qFormat/>
    <w:rsid w:val="00A35768"/>
    <w:rPr>
      <w:b/>
      <w:bCs/>
      <w:smallCaps/>
      <w:color w:val="0F4761" w:themeColor="accent1" w:themeShade="BF"/>
      <w:spacing w:val="5"/>
    </w:rPr>
  </w:style>
  <w:style w:type="paragraph" w:styleId="Header">
    <w:name w:val="header"/>
    <w:basedOn w:val="Normal"/>
    <w:link w:val="HeaderChar"/>
    <w:uiPriority w:val="99"/>
    <w:unhideWhenUsed/>
    <w:rsid w:val="00A35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768"/>
  </w:style>
  <w:style w:type="paragraph" w:styleId="Footer">
    <w:name w:val="footer"/>
    <w:basedOn w:val="Normal"/>
    <w:link w:val="FooterChar"/>
    <w:uiPriority w:val="99"/>
    <w:unhideWhenUsed/>
    <w:rsid w:val="00A35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768"/>
  </w:style>
  <w:style w:type="character" w:styleId="Hyperlink">
    <w:name w:val="Hyperlink"/>
    <w:basedOn w:val="DefaultParagraphFont"/>
    <w:uiPriority w:val="99"/>
    <w:unhideWhenUsed/>
    <w:rsid w:val="006C1831"/>
    <w:rPr>
      <w:color w:val="467886" w:themeColor="hyperlink"/>
      <w:u w:val="single"/>
    </w:rPr>
  </w:style>
  <w:style w:type="character" w:styleId="UnresolvedMention">
    <w:name w:val="Unresolved Mention"/>
    <w:basedOn w:val="DefaultParagraphFont"/>
    <w:uiPriority w:val="99"/>
    <w:semiHidden/>
    <w:unhideWhenUsed/>
    <w:rsid w:val="006C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Purins, Adrian (Health)</dc:creator>
  <cp:keywords/>
  <dc:description/>
  <cp:lastModifiedBy>Collen, Evelyn (Health)</cp:lastModifiedBy>
  <cp:revision>2</cp:revision>
  <dcterms:created xsi:type="dcterms:W3CDTF">2026-05-05T11:20:00Z</dcterms:created>
  <dcterms:modified xsi:type="dcterms:W3CDTF">2026-05-05T11:20:00Z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4a4768c1,6acb14d1,713dc83c</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379dc8ef,39f2759d,7efc66d7</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